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360B" w14:textId="77777777" w:rsidR="00986876" w:rsidRDefault="00986876" w:rsidP="00986876">
      <w:pPr>
        <w:jc w:val="center"/>
        <w:rPr>
          <w:sz w:val="52"/>
          <w:szCs w:val="52"/>
        </w:rPr>
      </w:pPr>
    </w:p>
    <w:p w14:paraId="3AA027CC" w14:textId="1D999FF9" w:rsidR="004B3C10" w:rsidRDefault="00B14374" w:rsidP="004B3C10">
      <w:pPr>
        <w:jc w:val="center"/>
        <w:rPr>
          <w:sz w:val="52"/>
          <w:szCs w:val="52"/>
        </w:rPr>
      </w:pPr>
      <w:r>
        <w:rPr>
          <w:sz w:val="52"/>
          <w:szCs w:val="52"/>
        </w:rPr>
        <w:t>IMOS</w:t>
      </w:r>
      <w:r w:rsidR="005B58B0">
        <w:rPr>
          <w:sz w:val="52"/>
          <w:szCs w:val="52"/>
        </w:rPr>
        <w:t xml:space="preserve"> </w:t>
      </w:r>
    </w:p>
    <w:p w14:paraId="1E7AE8E6" w14:textId="19406D3E" w:rsidR="004B3C10" w:rsidRDefault="004B3C10" w:rsidP="004B3C10">
      <w:pPr>
        <w:jc w:val="center"/>
        <w:rPr>
          <w:sz w:val="52"/>
          <w:szCs w:val="52"/>
        </w:rPr>
      </w:pPr>
      <w:r>
        <w:rPr>
          <w:sz w:val="52"/>
          <w:szCs w:val="52"/>
        </w:rPr>
        <w:t>Trading &amp; Risk</w:t>
      </w:r>
    </w:p>
    <w:p w14:paraId="710264DD" w14:textId="07AD4D4B" w:rsidR="005B58B0" w:rsidRDefault="005B58B0" w:rsidP="004B3C10">
      <w:pPr>
        <w:jc w:val="center"/>
        <w:rPr>
          <w:sz w:val="52"/>
          <w:szCs w:val="52"/>
        </w:rPr>
      </w:pPr>
      <w:r>
        <w:rPr>
          <w:sz w:val="52"/>
          <w:szCs w:val="52"/>
        </w:rPr>
        <w:t>-</w:t>
      </w:r>
    </w:p>
    <w:p w14:paraId="7E96F77E" w14:textId="2E102627" w:rsidR="00C15F63" w:rsidRDefault="004B3C10" w:rsidP="00986876">
      <w:pPr>
        <w:jc w:val="center"/>
        <w:rPr>
          <w:sz w:val="52"/>
          <w:szCs w:val="52"/>
        </w:rPr>
      </w:pPr>
      <w:r>
        <w:rPr>
          <w:sz w:val="52"/>
          <w:szCs w:val="52"/>
        </w:rPr>
        <w:t>Trade Profile Flag</w:t>
      </w:r>
      <w:r w:rsidR="001F5A52">
        <w:rPr>
          <w:sz w:val="52"/>
          <w:szCs w:val="52"/>
        </w:rPr>
        <w:t>s</w:t>
      </w:r>
    </w:p>
    <w:p w14:paraId="3C253696" w14:textId="77777777" w:rsidR="005B58B0" w:rsidRPr="002D09F5" w:rsidRDefault="005B58B0" w:rsidP="005B58B0"/>
    <w:p w14:paraId="7AABFEEA" w14:textId="77777777" w:rsidR="005B58B0" w:rsidRPr="002D09F5" w:rsidRDefault="005B58B0" w:rsidP="005B58B0"/>
    <w:p w14:paraId="335F62D3" w14:textId="77777777" w:rsidR="005B58B0" w:rsidRPr="002D09F5" w:rsidRDefault="005B58B0" w:rsidP="005B58B0"/>
    <w:p w14:paraId="6D5F1064" w14:textId="77777777" w:rsidR="005B58B0" w:rsidRPr="002D09F5" w:rsidRDefault="005B58B0" w:rsidP="005B58B0"/>
    <w:p w14:paraId="7304C110" w14:textId="77777777" w:rsidR="005B58B0" w:rsidRPr="002D09F5" w:rsidRDefault="005B58B0" w:rsidP="005B58B0"/>
    <w:p w14:paraId="186F8304" w14:textId="2A2FBA6B" w:rsidR="005B58B0" w:rsidRPr="002D09F5" w:rsidRDefault="00B23C60" w:rsidP="00844234">
      <w:pPr>
        <w:jc w:val="center"/>
      </w:pPr>
      <w:r>
        <w:rPr>
          <w:noProof/>
        </w:rPr>
        <w:drawing>
          <wp:inline distT="0" distB="0" distL="0" distR="0" wp14:anchorId="040F741D" wp14:editId="7B97AEEC">
            <wp:extent cx="7919049" cy="1668200"/>
            <wp:effectExtent l="0" t="0" r="6350" b="8255"/>
            <wp:docPr id="1816384576"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84576" name="Picture 1" descr="A screenshot of a computer&#10;&#10;Description automatically generated with low confidence"/>
                    <pic:cNvPicPr/>
                  </pic:nvPicPr>
                  <pic:blipFill>
                    <a:blip r:embed="rId11"/>
                    <a:stretch>
                      <a:fillRect/>
                    </a:stretch>
                  </pic:blipFill>
                  <pic:spPr>
                    <a:xfrm>
                      <a:off x="0" y="0"/>
                      <a:ext cx="8229533" cy="1733606"/>
                    </a:xfrm>
                    <a:prstGeom prst="rect">
                      <a:avLst/>
                    </a:prstGeom>
                  </pic:spPr>
                </pic:pic>
              </a:graphicData>
            </a:graphic>
          </wp:inline>
        </w:drawing>
      </w:r>
    </w:p>
    <w:p w14:paraId="09020234" w14:textId="04D9648F" w:rsidR="005B58B0" w:rsidRPr="002D09F5" w:rsidRDefault="005B58B0" w:rsidP="005B58B0">
      <w:pPr>
        <w:jc w:val="center"/>
      </w:pPr>
    </w:p>
    <w:p w14:paraId="09485493" w14:textId="77777777" w:rsidR="005B58B0" w:rsidRPr="002D09F5" w:rsidRDefault="005B58B0" w:rsidP="005B58B0"/>
    <w:p w14:paraId="36E1312B" w14:textId="77777777" w:rsidR="005B58B0" w:rsidRPr="002D09F5" w:rsidRDefault="005B58B0" w:rsidP="005B58B0"/>
    <w:p w14:paraId="78280713" w14:textId="77777777" w:rsidR="005B58B0" w:rsidRPr="002D09F5" w:rsidRDefault="005B58B0" w:rsidP="005B58B0"/>
    <w:p w14:paraId="32A4568B" w14:textId="77777777" w:rsidR="005B58B0" w:rsidRPr="002D09F5" w:rsidRDefault="005B58B0" w:rsidP="005B58B0"/>
    <w:p w14:paraId="3630F69B" w14:textId="77777777" w:rsidR="005B58B0" w:rsidRPr="002D09F5" w:rsidRDefault="005B58B0" w:rsidP="005B58B0"/>
    <w:p w14:paraId="0F716736" w14:textId="77777777" w:rsidR="005B58B0" w:rsidRDefault="005B58B0" w:rsidP="005B58B0"/>
    <w:p w14:paraId="05208B50" w14:textId="77777777" w:rsidR="008A2422" w:rsidRPr="002D09F5" w:rsidRDefault="008A2422" w:rsidP="005B58B0"/>
    <w:p w14:paraId="385734ED" w14:textId="6E53866B" w:rsidR="00325C64" w:rsidRDefault="00325C64" w:rsidP="00325C64">
      <w:pPr>
        <w:ind w:left="-720" w:right="-720"/>
        <w:jc w:val="center"/>
        <w:rPr>
          <w:color w:val="FF0000"/>
        </w:rPr>
      </w:pPr>
      <w:r w:rsidRPr="00B646EB">
        <w:rPr>
          <w:color w:val="FF0000"/>
        </w:rPr>
        <w:t xml:space="preserve">*Please note that some of these Profile Flags require a Configuration Flag setting(s) to be enabled by Veson </w:t>
      </w:r>
      <w:r w:rsidR="00052087">
        <w:rPr>
          <w:color w:val="FF0000"/>
        </w:rPr>
        <w:t>and</w:t>
      </w:r>
      <w:r w:rsidRPr="00B646EB">
        <w:rPr>
          <w:color w:val="FF0000"/>
        </w:rPr>
        <w:t xml:space="preserve"> cross-checked for conflicting flag settings.</w:t>
      </w:r>
    </w:p>
    <w:p w14:paraId="0F23685D" w14:textId="77777777" w:rsidR="008A2422" w:rsidRPr="00B646EB" w:rsidRDefault="008A2422" w:rsidP="008A2422">
      <w:pPr>
        <w:ind w:left="-1008"/>
        <w:rPr>
          <w:color w:val="FF0000"/>
        </w:rPr>
      </w:pPr>
    </w:p>
    <w:p w14:paraId="16DDFE89" w14:textId="77777777" w:rsidR="005B58B0" w:rsidRPr="002D09F5" w:rsidRDefault="005B58B0" w:rsidP="000B5560"/>
    <w:p w14:paraId="5D7A91A7" w14:textId="178848D8" w:rsidR="005B58B0" w:rsidRDefault="00EB193A" w:rsidP="004B3C10">
      <w:pPr>
        <w:ind w:left="-1152"/>
      </w:pPr>
      <w:r>
        <w:rPr>
          <w:noProof/>
        </w:rPr>
        <w:drawing>
          <wp:inline distT="0" distB="0" distL="0" distR="0" wp14:anchorId="625F4076" wp14:editId="6F2E6C1D">
            <wp:extent cx="10325819" cy="3727924"/>
            <wp:effectExtent l="0" t="0" r="0" b="6350"/>
            <wp:docPr id="50984446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44468" name="Picture 1" descr="A screenshot of a computer&#10;&#10;Description automatically generated with medium confidence"/>
                    <pic:cNvPicPr/>
                  </pic:nvPicPr>
                  <pic:blipFill>
                    <a:blip r:embed="rId12"/>
                    <a:stretch>
                      <a:fillRect/>
                    </a:stretch>
                  </pic:blipFill>
                  <pic:spPr>
                    <a:xfrm>
                      <a:off x="0" y="0"/>
                      <a:ext cx="10370685" cy="3744122"/>
                    </a:xfrm>
                    <a:prstGeom prst="rect">
                      <a:avLst/>
                    </a:prstGeom>
                  </pic:spPr>
                </pic:pic>
              </a:graphicData>
            </a:graphic>
          </wp:inline>
        </w:drawing>
      </w:r>
    </w:p>
    <w:p w14:paraId="2B6A71CE" w14:textId="77777777" w:rsidR="004B3C10" w:rsidRDefault="004B3C10" w:rsidP="004B3C10">
      <w:pPr>
        <w:ind w:left="-1152"/>
      </w:pPr>
    </w:p>
    <w:p w14:paraId="6FF12B31" w14:textId="77777777" w:rsidR="004B3C10" w:rsidRDefault="004B3C10" w:rsidP="00844234"/>
    <w:p w14:paraId="06D3E361" w14:textId="77777777" w:rsidR="00542A9A" w:rsidRDefault="00542A9A" w:rsidP="004B3C10">
      <w:pPr>
        <w:ind w:left="-1152"/>
      </w:pPr>
    </w:p>
    <w:p w14:paraId="4DA65860" w14:textId="77777777" w:rsidR="00307FEE" w:rsidRDefault="00307FEE" w:rsidP="004B3C10">
      <w:pPr>
        <w:ind w:left="-1152"/>
      </w:pPr>
    </w:p>
    <w:p w14:paraId="7084BFC0" w14:textId="77777777" w:rsidR="00307FEE" w:rsidRDefault="00307FEE" w:rsidP="004B3C10">
      <w:pPr>
        <w:ind w:left="-1152"/>
      </w:pPr>
    </w:p>
    <w:p w14:paraId="037A9CBA" w14:textId="77777777" w:rsidR="00307FEE" w:rsidRDefault="00307FEE" w:rsidP="004B3C10">
      <w:pPr>
        <w:ind w:left="-1152"/>
      </w:pPr>
    </w:p>
    <w:p w14:paraId="7B67FEAA" w14:textId="77777777" w:rsidR="00307FEE" w:rsidRDefault="00307FEE" w:rsidP="004B3C10">
      <w:pPr>
        <w:ind w:left="-1152"/>
      </w:pPr>
    </w:p>
    <w:p w14:paraId="0614B84D" w14:textId="118CF4E1" w:rsidR="004B3C10" w:rsidRPr="00B0649F" w:rsidRDefault="004B3C10" w:rsidP="00B0649F">
      <w:pPr>
        <w:pStyle w:val="ListParagraph"/>
        <w:numPr>
          <w:ilvl w:val="0"/>
          <w:numId w:val="20"/>
        </w:numPr>
        <w:rPr>
          <w:color w:val="4472C4" w:themeColor="accent1"/>
        </w:rPr>
      </w:pPr>
      <w:r w:rsidRPr="00B0649F">
        <w:rPr>
          <w:color w:val="4472C4" w:themeColor="accent1"/>
        </w:rPr>
        <w:t>Exclude Out-of-Money Physical Trades In Our Favor</w:t>
      </w:r>
    </w:p>
    <w:p w14:paraId="04E8FFE9" w14:textId="0D4CC5F4" w:rsidR="00953AF2" w:rsidRPr="00493DF3" w:rsidRDefault="00CE2851" w:rsidP="00953AF2">
      <w:pPr>
        <w:pStyle w:val="ListParagraph"/>
        <w:numPr>
          <w:ilvl w:val="0"/>
          <w:numId w:val="18"/>
        </w:numPr>
        <w:rPr>
          <w:sz w:val="22"/>
          <w:szCs w:val="22"/>
        </w:rPr>
      </w:pPr>
      <w:r w:rsidRPr="00493DF3">
        <w:rPr>
          <w:sz w:val="22"/>
          <w:szCs w:val="22"/>
        </w:rPr>
        <w:t>Prevents OTM</w:t>
      </w:r>
      <w:r w:rsidR="00640326" w:rsidRPr="00493DF3">
        <w:rPr>
          <w:sz w:val="22"/>
          <w:szCs w:val="22"/>
        </w:rPr>
        <w:t xml:space="preserve"> Options from showing in the Trading P&amp;L</w:t>
      </w:r>
      <w:r w:rsidR="00CB20B9" w:rsidRPr="00493DF3">
        <w:rPr>
          <w:sz w:val="22"/>
          <w:szCs w:val="22"/>
        </w:rPr>
        <w:t xml:space="preserve"> </w:t>
      </w:r>
      <w:r w:rsidR="00CD20D4">
        <w:rPr>
          <w:sz w:val="22"/>
          <w:szCs w:val="22"/>
        </w:rPr>
        <w:t>Summary</w:t>
      </w:r>
    </w:p>
    <w:p w14:paraId="07717C8B" w14:textId="0CFFB2DC" w:rsidR="00C07AE1" w:rsidRPr="00B0649F" w:rsidRDefault="00C07AE1" w:rsidP="00B0649F">
      <w:pPr>
        <w:pStyle w:val="ListParagraph"/>
        <w:numPr>
          <w:ilvl w:val="0"/>
          <w:numId w:val="21"/>
        </w:numPr>
        <w:rPr>
          <w:color w:val="4472C4" w:themeColor="accent1"/>
        </w:rPr>
      </w:pPr>
      <w:r w:rsidRPr="00B0649F">
        <w:rPr>
          <w:color w:val="4472C4" w:themeColor="accent1"/>
        </w:rPr>
        <w:t>Evaluate TC Min/Max Month By Month</w:t>
      </w:r>
    </w:p>
    <w:p w14:paraId="0E109B66" w14:textId="252F9E11" w:rsidR="00C07AE1" w:rsidRDefault="00E36EE5" w:rsidP="00782E01">
      <w:pPr>
        <w:pStyle w:val="ListParagraph"/>
        <w:numPr>
          <w:ilvl w:val="0"/>
          <w:numId w:val="18"/>
        </w:numPr>
        <w:ind w:left="1800"/>
        <w:rPr>
          <w:sz w:val="22"/>
          <w:szCs w:val="22"/>
        </w:rPr>
      </w:pPr>
      <w:r w:rsidRPr="00493DF3">
        <w:rPr>
          <w:sz w:val="22"/>
          <w:szCs w:val="22"/>
        </w:rPr>
        <w:t>This will evaluate the TC Min/Max delivery</w:t>
      </w:r>
      <w:r w:rsidR="00911056" w:rsidRPr="00493DF3">
        <w:rPr>
          <w:sz w:val="22"/>
          <w:szCs w:val="22"/>
        </w:rPr>
        <w:t xml:space="preserve"> option month by month instead of as a single option</w:t>
      </w:r>
      <w:r w:rsidR="00D07186" w:rsidRPr="00493DF3">
        <w:rPr>
          <w:sz w:val="22"/>
          <w:szCs w:val="22"/>
        </w:rPr>
        <w:t xml:space="preserve"> (entire period)</w:t>
      </w:r>
      <w:r w:rsidR="00911056" w:rsidRPr="00493DF3">
        <w:rPr>
          <w:sz w:val="22"/>
          <w:szCs w:val="22"/>
        </w:rPr>
        <w:t>. Includes the exposure month for the redelivery bunkers on the TC contract.</w:t>
      </w:r>
    </w:p>
    <w:p w14:paraId="4827425C" w14:textId="524877F1" w:rsidR="00C94561" w:rsidRPr="00493DF3" w:rsidRDefault="00C94561" w:rsidP="00782E01">
      <w:pPr>
        <w:pStyle w:val="ListParagraph"/>
        <w:numPr>
          <w:ilvl w:val="0"/>
          <w:numId w:val="18"/>
        </w:numPr>
        <w:ind w:left="1800"/>
        <w:rPr>
          <w:sz w:val="22"/>
          <w:szCs w:val="22"/>
        </w:rPr>
      </w:pPr>
      <w:r w:rsidRPr="00C94561">
        <w:rPr>
          <w:sz w:val="22"/>
          <w:szCs w:val="22"/>
        </w:rPr>
        <w:t xml:space="preserve">This means if we have a trade that starts ITM then goes OTM, we will find the months that result in the largest ITM trade, and remove the rest from the </w:t>
      </w:r>
      <w:r w:rsidR="00E5182E">
        <w:rPr>
          <w:sz w:val="22"/>
          <w:szCs w:val="22"/>
        </w:rPr>
        <w:t>Trading P&amp;L Summary</w:t>
      </w:r>
      <w:r w:rsidRPr="00C94561">
        <w:rPr>
          <w:sz w:val="22"/>
          <w:szCs w:val="22"/>
        </w:rPr>
        <w:t>.</w:t>
      </w:r>
    </w:p>
    <w:p w14:paraId="14C873D4" w14:textId="77777777" w:rsidR="00C214F4" w:rsidRDefault="00C214F4" w:rsidP="00C214F4">
      <w:pPr>
        <w:rPr>
          <w:color w:val="4472C4" w:themeColor="accent1"/>
        </w:rPr>
      </w:pPr>
    </w:p>
    <w:p w14:paraId="58DE4E40" w14:textId="77777777" w:rsidR="00307FEE" w:rsidRPr="00C214F4" w:rsidRDefault="00307FEE" w:rsidP="00C214F4">
      <w:pPr>
        <w:rPr>
          <w:color w:val="4472C4" w:themeColor="accent1"/>
        </w:rPr>
      </w:pPr>
    </w:p>
    <w:p w14:paraId="7408EB85" w14:textId="08F1B678" w:rsidR="004B3C10" w:rsidRPr="0042752B" w:rsidRDefault="004B3C10" w:rsidP="006460F8">
      <w:pPr>
        <w:pStyle w:val="ListParagraph"/>
        <w:numPr>
          <w:ilvl w:val="0"/>
          <w:numId w:val="21"/>
        </w:numPr>
        <w:ind w:left="720"/>
        <w:rPr>
          <w:color w:val="4472C4" w:themeColor="accent1"/>
        </w:rPr>
      </w:pPr>
      <w:r w:rsidRPr="0042752B">
        <w:rPr>
          <w:color w:val="4472C4" w:themeColor="accent1"/>
        </w:rPr>
        <w:t>Exclude Internal Trade</w:t>
      </w:r>
    </w:p>
    <w:p w14:paraId="35D88ACE" w14:textId="3A9DCCBD" w:rsidR="00D07186" w:rsidRDefault="005B2C0C" w:rsidP="00D07186">
      <w:pPr>
        <w:pStyle w:val="ListParagraph"/>
        <w:numPr>
          <w:ilvl w:val="0"/>
          <w:numId w:val="18"/>
        </w:numPr>
        <w:rPr>
          <w:sz w:val="22"/>
          <w:szCs w:val="22"/>
        </w:rPr>
      </w:pPr>
      <w:r w:rsidRPr="00493DF3">
        <w:rPr>
          <w:sz w:val="22"/>
          <w:szCs w:val="22"/>
        </w:rPr>
        <w:t xml:space="preserve">Excludes </w:t>
      </w:r>
      <w:r w:rsidR="004116DA" w:rsidRPr="00493DF3">
        <w:rPr>
          <w:sz w:val="22"/>
          <w:szCs w:val="22"/>
        </w:rPr>
        <w:t>trades/contracts marked as Internal from showing exposure</w:t>
      </w:r>
      <w:r w:rsidR="00C82FB8" w:rsidRPr="00493DF3">
        <w:rPr>
          <w:sz w:val="22"/>
          <w:szCs w:val="22"/>
        </w:rPr>
        <w:t>.</w:t>
      </w:r>
    </w:p>
    <w:p w14:paraId="592D10EA" w14:textId="49A05A4C" w:rsidR="000F10D9" w:rsidRPr="00493DF3" w:rsidRDefault="000F10D9" w:rsidP="00D07186">
      <w:pPr>
        <w:pStyle w:val="ListParagraph"/>
        <w:numPr>
          <w:ilvl w:val="0"/>
          <w:numId w:val="18"/>
        </w:numPr>
        <w:rPr>
          <w:sz w:val="22"/>
          <w:szCs w:val="22"/>
        </w:rPr>
      </w:pPr>
      <w:r>
        <w:rPr>
          <w:sz w:val="22"/>
          <w:szCs w:val="22"/>
        </w:rPr>
        <w:t>This would exclude mirrored contracts from showing exposure.</w:t>
      </w:r>
    </w:p>
    <w:p w14:paraId="4471F1F8" w14:textId="77777777" w:rsidR="004B3C10" w:rsidRDefault="004B3C10" w:rsidP="004B3C10"/>
    <w:p w14:paraId="62ED032F" w14:textId="77777777" w:rsidR="00307FEE" w:rsidRDefault="00307FEE" w:rsidP="004B3C10"/>
    <w:p w14:paraId="137BDAA6" w14:textId="5773AC82" w:rsidR="004B3C10" w:rsidRPr="006460F8" w:rsidRDefault="004B3C10" w:rsidP="006E5224">
      <w:pPr>
        <w:pStyle w:val="ListParagraph"/>
        <w:numPr>
          <w:ilvl w:val="0"/>
          <w:numId w:val="21"/>
        </w:numPr>
        <w:ind w:left="720"/>
        <w:rPr>
          <w:color w:val="4472C4" w:themeColor="accent1"/>
        </w:rPr>
      </w:pPr>
      <w:r w:rsidRPr="006460F8">
        <w:rPr>
          <w:color w:val="4472C4" w:themeColor="accent1"/>
        </w:rPr>
        <w:t>Overwrite Itinerary on Benchmark Es</w:t>
      </w:r>
    </w:p>
    <w:p w14:paraId="6F0CE275" w14:textId="213923CD" w:rsidR="00F37751" w:rsidRPr="00493DF3" w:rsidRDefault="00F37751" w:rsidP="00F37751">
      <w:pPr>
        <w:pStyle w:val="ListParagraph"/>
        <w:numPr>
          <w:ilvl w:val="0"/>
          <w:numId w:val="18"/>
        </w:numPr>
        <w:rPr>
          <w:sz w:val="22"/>
          <w:szCs w:val="22"/>
        </w:rPr>
      </w:pPr>
      <w:r w:rsidRPr="00493DF3">
        <w:rPr>
          <w:sz w:val="22"/>
          <w:szCs w:val="22"/>
        </w:rPr>
        <w:t>Using a benchmark estimate, th</w:t>
      </w:r>
      <w:r w:rsidR="00310126" w:rsidRPr="00493DF3">
        <w:rPr>
          <w:sz w:val="22"/>
          <w:szCs w:val="22"/>
        </w:rPr>
        <w:t>is will take the itinerary from the Cargo contract and overwrite the itinerary on the benchmark estimate</w:t>
      </w:r>
      <w:r w:rsidR="00EF2DBE" w:rsidRPr="00493DF3">
        <w:rPr>
          <w:sz w:val="22"/>
          <w:szCs w:val="22"/>
        </w:rPr>
        <w:t xml:space="preserve"> to match the Cargo.</w:t>
      </w:r>
    </w:p>
    <w:p w14:paraId="4537F584" w14:textId="77777777" w:rsidR="004B3C10" w:rsidRDefault="004B3C10" w:rsidP="004B3C10"/>
    <w:p w14:paraId="4CDA4BC9" w14:textId="77777777" w:rsidR="00307FEE" w:rsidRDefault="00307FEE" w:rsidP="004B3C10"/>
    <w:p w14:paraId="41BEF74A" w14:textId="3EFB3389" w:rsidR="004B3C10" w:rsidRPr="006E5224" w:rsidRDefault="004B3C10" w:rsidP="006E5224">
      <w:pPr>
        <w:pStyle w:val="ListParagraph"/>
        <w:numPr>
          <w:ilvl w:val="0"/>
          <w:numId w:val="21"/>
        </w:numPr>
        <w:ind w:left="720"/>
        <w:rPr>
          <w:color w:val="4472C4" w:themeColor="accent1"/>
        </w:rPr>
      </w:pPr>
      <w:r w:rsidRPr="006E5224">
        <w:rPr>
          <w:color w:val="4472C4" w:themeColor="accent1"/>
        </w:rPr>
        <w:t>No Days Exposure of Index-Linked Trades</w:t>
      </w:r>
    </w:p>
    <w:p w14:paraId="09C9F96B" w14:textId="1BAC44D7" w:rsidR="00AF4E2E" w:rsidRPr="00493DF3" w:rsidRDefault="00D20841" w:rsidP="00AF4E2E">
      <w:pPr>
        <w:pStyle w:val="ListParagraph"/>
        <w:numPr>
          <w:ilvl w:val="0"/>
          <w:numId w:val="18"/>
        </w:numPr>
        <w:rPr>
          <w:sz w:val="22"/>
          <w:szCs w:val="22"/>
        </w:rPr>
      </w:pPr>
      <w:r w:rsidRPr="00493DF3">
        <w:rPr>
          <w:sz w:val="22"/>
          <w:szCs w:val="22"/>
        </w:rPr>
        <w:t>Check</w:t>
      </w:r>
      <w:r w:rsidR="00C82FB8" w:rsidRPr="00493DF3">
        <w:rPr>
          <w:sz w:val="22"/>
          <w:szCs w:val="22"/>
        </w:rPr>
        <w:t>ing</w:t>
      </w:r>
      <w:r w:rsidRPr="00493DF3">
        <w:rPr>
          <w:sz w:val="22"/>
          <w:szCs w:val="22"/>
        </w:rPr>
        <w:t xml:space="preserve"> this w</w:t>
      </w:r>
      <w:r w:rsidR="00C82FB8" w:rsidRPr="00493DF3">
        <w:rPr>
          <w:sz w:val="22"/>
          <w:szCs w:val="22"/>
        </w:rPr>
        <w:t>ill</w:t>
      </w:r>
      <w:r w:rsidRPr="00493DF3">
        <w:rPr>
          <w:sz w:val="22"/>
          <w:szCs w:val="22"/>
        </w:rPr>
        <w:t xml:space="preserve"> show 0 Days exposure on</w:t>
      </w:r>
      <w:r w:rsidR="00AF4E2E" w:rsidRPr="00493DF3">
        <w:rPr>
          <w:sz w:val="22"/>
          <w:szCs w:val="22"/>
        </w:rPr>
        <w:t xml:space="preserve"> Index-Linked Trades</w:t>
      </w:r>
      <w:r w:rsidR="00C82FB8" w:rsidRPr="00493DF3">
        <w:rPr>
          <w:sz w:val="22"/>
          <w:szCs w:val="22"/>
        </w:rPr>
        <w:t>.</w:t>
      </w:r>
      <w:r w:rsidR="00AF4E2E" w:rsidRPr="00493DF3">
        <w:rPr>
          <w:sz w:val="22"/>
          <w:szCs w:val="22"/>
        </w:rPr>
        <w:t xml:space="preserve"> </w:t>
      </w:r>
    </w:p>
    <w:p w14:paraId="761E9A45" w14:textId="246896EC" w:rsidR="004B3C10" w:rsidRDefault="004B3C10" w:rsidP="004B3C10"/>
    <w:p w14:paraId="4E0A5F47" w14:textId="77777777" w:rsidR="00307FEE" w:rsidRDefault="00307FEE" w:rsidP="004B3C10"/>
    <w:p w14:paraId="46BCB379" w14:textId="77777777" w:rsidR="00D27A5C" w:rsidRDefault="00D27A5C" w:rsidP="004B3C10"/>
    <w:p w14:paraId="7631DB73" w14:textId="77777777" w:rsidR="00D27A5C" w:rsidRDefault="00D27A5C" w:rsidP="004B3C10"/>
    <w:p w14:paraId="73144D4E" w14:textId="77777777" w:rsidR="00D27A5C" w:rsidRDefault="00D27A5C" w:rsidP="004B3C10"/>
    <w:p w14:paraId="3CC86C71" w14:textId="77777777" w:rsidR="00307FEE" w:rsidRDefault="00307FEE" w:rsidP="004B3C10"/>
    <w:p w14:paraId="23178F8A" w14:textId="77777777" w:rsidR="00307FEE" w:rsidRDefault="00307FEE" w:rsidP="004B3C10"/>
    <w:p w14:paraId="507AD2F1" w14:textId="77777777" w:rsidR="00307FEE" w:rsidRDefault="00307FEE" w:rsidP="004B3C10"/>
    <w:p w14:paraId="5876538D" w14:textId="29959F96" w:rsidR="004B3C10" w:rsidRPr="00493DF3" w:rsidRDefault="004B3C10" w:rsidP="006E5224">
      <w:pPr>
        <w:pStyle w:val="ListParagraph"/>
        <w:numPr>
          <w:ilvl w:val="0"/>
          <w:numId w:val="21"/>
        </w:numPr>
        <w:ind w:left="720"/>
        <w:rPr>
          <w:color w:val="4472C4" w:themeColor="accent1"/>
          <w:sz w:val="22"/>
          <w:szCs w:val="22"/>
        </w:rPr>
      </w:pPr>
      <w:r w:rsidRPr="006E5224">
        <w:rPr>
          <w:color w:val="4472C4" w:themeColor="accent1"/>
        </w:rPr>
        <w:lastRenderedPageBreak/>
        <w:t>Adjust TC Redelivery on Market Condition</w:t>
      </w:r>
      <w:r w:rsidR="00520602">
        <w:rPr>
          <w:color w:val="4472C4" w:themeColor="accent1"/>
        </w:rPr>
        <w:t xml:space="preserve"> </w:t>
      </w:r>
    </w:p>
    <w:p w14:paraId="5D040FA5" w14:textId="5051C6E8" w:rsidR="00A9034C" w:rsidRDefault="009D47AF" w:rsidP="00A9034C">
      <w:pPr>
        <w:pStyle w:val="ListParagraph"/>
        <w:numPr>
          <w:ilvl w:val="0"/>
          <w:numId w:val="18"/>
        </w:numPr>
        <w:rPr>
          <w:sz w:val="22"/>
          <w:szCs w:val="22"/>
        </w:rPr>
      </w:pPr>
      <w:r w:rsidRPr="00493DF3">
        <w:rPr>
          <w:sz w:val="22"/>
          <w:szCs w:val="22"/>
        </w:rPr>
        <w:t xml:space="preserve">Similar to the “Exclude OTM physical trades in our favor”. </w:t>
      </w:r>
      <w:r w:rsidR="00BE1BBB" w:rsidRPr="00493DF3">
        <w:rPr>
          <w:sz w:val="22"/>
          <w:szCs w:val="22"/>
        </w:rPr>
        <w:t>This will adjust the TC Redelivery</w:t>
      </w:r>
      <w:r w:rsidR="008E19B7" w:rsidRPr="00493DF3">
        <w:rPr>
          <w:sz w:val="22"/>
          <w:szCs w:val="22"/>
        </w:rPr>
        <w:t xml:space="preserve"> based on whether you are OTM or ITM</w:t>
      </w:r>
      <w:r w:rsidR="0037781D" w:rsidRPr="00493DF3">
        <w:rPr>
          <w:sz w:val="22"/>
          <w:szCs w:val="22"/>
        </w:rPr>
        <w:t>.</w:t>
      </w:r>
    </w:p>
    <w:p w14:paraId="2BD5921C" w14:textId="77777777" w:rsidR="00FA629D" w:rsidRPr="00493DF3" w:rsidRDefault="00FA629D" w:rsidP="00FA629D">
      <w:pPr>
        <w:pStyle w:val="ListParagraph"/>
        <w:ind w:left="1080"/>
        <w:rPr>
          <w:sz w:val="22"/>
          <w:szCs w:val="22"/>
        </w:rPr>
      </w:pPr>
    </w:p>
    <w:p w14:paraId="6CC09A86" w14:textId="24AF68F1" w:rsidR="004C0E8F" w:rsidRPr="004C0E8F" w:rsidRDefault="00FC26FE" w:rsidP="004C0E8F">
      <w:pPr>
        <w:pStyle w:val="ListParagraph"/>
        <w:numPr>
          <w:ilvl w:val="1"/>
          <w:numId w:val="18"/>
        </w:numPr>
        <w:rPr>
          <w:color w:val="4472C4" w:themeColor="accent1"/>
        </w:rPr>
      </w:pPr>
      <w:r w:rsidRPr="00FC26FE">
        <w:rPr>
          <w:color w:val="4472C4" w:themeColor="accent1"/>
        </w:rPr>
        <w:t>Include About Days</w:t>
      </w:r>
    </w:p>
    <w:p w14:paraId="13AD7E13" w14:textId="10D58655" w:rsidR="00FC26FE" w:rsidRPr="00FA629D" w:rsidRDefault="00514553" w:rsidP="00FC26FE">
      <w:pPr>
        <w:pStyle w:val="ListParagraph"/>
        <w:numPr>
          <w:ilvl w:val="0"/>
          <w:numId w:val="18"/>
        </w:numPr>
        <w:ind w:left="1800"/>
        <w:rPr>
          <w:sz w:val="22"/>
          <w:szCs w:val="22"/>
        </w:rPr>
      </w:pPr>
      <w:r w:rsidRPr="00493DF3">
        <w:rPr>
          <w:color w:val="000000" w:themeColor="text1"/>
          <w:sz w:val="22"/>
          <w:szCs w:val="22"/>
        </w:rPr>
        <w:t>Includes the period between the Min and Max period.</w:t>
      </w:r>
    </w:p>
    <w:p w14:paraId="7A66E674" w14:textId="77777777" w:rsidR="00FA629D" w:rsidRPr="00493DF3" w:rsidRDefault="00FA629D" w:rsidP="00FA629D">
      <w:pPr>
        <w:pStyle w:val="ListParagraph"/>
        <w:ind w:left="1800"/>
        <w:rPr>
          <w:sz w:val="22"/>
          <w:szCs w:val="22"/>
        </w:rPr>
      </w:pPr>
    </w:p>
    <w:p w14:paraId="6E69F8A3" w14:textId="760776AE" w:rsidR="000807A8" w:rsidRDefault="00F30A90" w:rsidP="000807A8">
      <w:pPr>
        <w:pStyle w:val="ListParagraph"/>
        <w:numPr>
          <w:ilvl w:val="1"/>
          <w:numId w:val="18"/>
        </w:numPr>
        <w:rPr>
          <w:color w:val="4472C4" w:themeColor="accent1"/>
        </w:rPr>
      </w:pPr>
      <w:r>
        <w:rPr>
          <w:color w:val="4472C4" w:themeColor="accent1"/>
        </w:rPr>
        <w:t>TCI Redelivery Adj Days</w:t>
      </w:r>
      <w:r w:rsidR="00A960CF">
        <w:rPr>
          <w:color w:val="4472C4" w:themeColor="accent1"/>
        </w:rPr>
        <w:t xml:space="preserve"> </w:t>
      </w:r>
    </w:p>
    <w:p w14:paraId="693E5BB5" w14:textId="090D853A" w:rsidR="000807A8" w:rsidRPr="00493DF3" w:rsidRDefault="000807A8" w:rsidP="00E106CF">
      <w:pPr>
        <w:pStyle w:val="ListParagraph"/>
        <w:numPr>
          <w:ilvl w:val="0"/>
          <w:numId w:val="18"/>
        </w:numPr>
        <w:ind w:left="1800"/>
        <w:rPr>
          <w:color w:val="4472C4" w:themeColor="accent1"/>
          <w:sz w:val="22"/>
          <w:szCs w:val="22"/>
        </w:rPr>
      </w:pPr>
      <w:r w:rsidRPr="00493DF3">
        <w:rPr>
          <w:color w:val="172B4D"/>
          <w:spacing w:val="-1"/>
          <w:sz w:val="22"/>
          <w:szCs w:val="22"/>
        </w:rPr>
        <w:t>Number of days to be used in the following logic as X.</w:t>
      </w:r>
    </w:p>
    <w:p w14:paraId="18510C58" w14:textId="77777777" w:rsidR="000807A8" w:rsidRPr="000807A8" w:rsidRDefault="000807A8" w:rsidP="00493DF3">
      <w:pPr>
        <w:shd w:val="clear" w:color="auto" w:fill="FFFFFF"/>
        <w:ind w:left="1440" w:firstLine="720"/>
        <w:jc w:val="left"/>
        <w:rPr>
          <w:color w:val="172B4D"/>
          <w:spacing w:val="-1"/>
          <w:sz w:val="22"/>
          <w:szCs w:val="22"/>
        </w:rPr>
      </w:pPr>
      <w:r w:rsidRPr="000807A8">
        <w:rPr>
          <w:color w:val="172B4D"/>
          <w:spacing w:val="-1"/>
          <w:sz w:val="22"/>
          <w:szCs w:val="22"/>
        </w:rPr>
        <w:t>For TCI Contracts:</w:t>
      </w:r>
    </w:p>
    <w:p w14:paraId="78533A6C" w14:textId="77777777" w:rsidR="000807A8" w:rsidRPr="000807A8" w:rsidRDefault="000807A8" w:rsidP="00DF3F64">
      <w:pPr>
        <w:numPr>
          <w:ilvl w:val="2"/>
          <w:numId w:val="28"/>
        </w:numPr>
        <w:shd w:val="clear" w:color="auto" w:fill="FFFFFF"/>
        <w:jc w:val="left"/>
        <w:rPr>
          <w:color w:val="172B4D"/>
          <w:spacing w:val="-1"/>
          <w:sz w:val="22"/>
          <w:szCs w:val="22"/>
        </w:rPr>
      </w:pPr>
      <w:r w:rsidRPr="000807A8">
        <w:rPr>
          <w:color w:val="172B4D"/>
          <w:spacing w:val="-1"/>
          <w:sz w:val="22"/>
          <w:szCs w:val="22"/>
        </w:rPr>
        <w:t>If the TCI Min/Max is OTM (Option Status is Out of The Money), exclude the TCI Min/Max and the Options. The total Exposure time is until the Min redelivery + X.</w:t>
      </w:r>
    </w:p>
    <w:p w14:paraId="2BF532C1" w14:textId="77777777" w:rsidR="000807A8" w:rsidRPr="000807A8" w:rsidRDefault="000807A8" w:rsidP="00DF3F64">
      <w:pPr>
        <w:numPr>
          <w:ilvl w:val="2"/>
          <w:numId w:val="28"/>
        </w:numPr>
        <w:shd w:val="clear" w:color="auto" w:fill="FFFFFF"/>
        <w:jc w:val="left"/>
        <w:rPr>
          <w:color w:val="172B4D"/>
          <w:spacing w:val="-1"/>
          <w:sz w:val="22"/>
          <w:szCs w:val="22"/>
        </w:rPr>
      </w:pPr>
      <w:r w:rsidRPr="000807A8">
        <w:rPr>
          <w:color w:val="172B4D"/>
          <w:spacing w:val="-1"/>
          <w:sz w:val="22"/>
          <w:szCs w:val="22"/>
        </w:rPr>
        <w:t>If the TCI Min/Max is ITM (Option Status is In The Money), but the Options are OTM, exclude the Options. The total Exposure time is until the Max redelivery + About Days - X.</w:t>
      </w:r>
    </w:p>
    <w:p w14:paraId="78A8D0C7" w14:textId="77777777" w:rsidR="000807A8" w:rsidRDefault="000807A8" w:rsidP="00DF3F64">
      <w:pPr>
        <w:numPr>
          <w:ilvl w:val="2"/>
          <w:numId w:val="28"/>
        </w:numPr>
        <w:shd w:val="clear" w:color="auto" w:fill="FFFFFF"/>
        <w:jc w:val="left"/>
        <w:rPr>
          <w:color w:val="172B4D"/>
          <w:spacing w:val="-1"/>
          <w:sz w:val="22"/>
          <w:szCs w:val="22"/>
        </w:rPr>
      </w:pPr>
      <w:r w:rsidRPr="000807A8">
        <w:rPr>
          <w:color w:val="172B4D"/>
          <w:spacing w:val="-1"/>
          <w:sz w:val="22"/>
          <w:szCs w:val="22"/>
        </w:rPr>
        <w:t>If the TCI Min/Max and the Options are ITM, include both. The total Exposure time is until the last option's redelivery + About Days - X.</w:t>
      </w:r>
    </w:p>
    <w:p w14:paraId="5608EE0F" w14:textId="77777777" w:rsidR="003C0149" w:rsidRPr="000807A8" w:rsidRDefault="003C0149" w:rsidP="003C0149">
      <w:pPr>
        <w:shd w:val="clear" w:color="auto" w:fill="FFFFFF"/>
        <w:ind w:left="2520"/>
        <w:jc w:val="left"/>
        <w:rPr>
          <w:color w:val="172B4D"/>
          <w:spacing w:val="-1"/>
          <w:sz w:val="22"/>
          <w:szCs w:val="22"/>
        </w:rPr>
      </w:pPr>
    </w:p>
    <w:p w14:paraId="7F5E6B1C" w14:textId="77777777" w:rsidR="000807A8" w:rsidRPr="000807A8" w:rsidRDefault="000807A8" w:rsidP="00493DF3">
      <w:pPr>
        <w:shd w:val="clear" w:color="auto" w:fill="FFFFFF"/>
        <w:ind w:left="1800" w:firstLine="360"/>
        <w:jc w:val="left"/>
        <w:rPr>
          <w:color w:val="172B4D"/>
          <w:spacing w:val="-1"/>
          <w:sz w:val="22"/>
          <w:szCs w:val="22"/>
        </w:rPr>
      </w:pPr>
      <w:r w:rsidRPr="000807A8">
        <w:rPr>
          <w:color w:val="172B4D"/>
          <w:spacing w:val="-1"/>
          <w:sz w:val="22"/>
          <w:szCs w:val="22"/>
        </w:rPr>
        <w:t>For TCO Contracts:</w:t>
      </w:r>
    </w:p>
    <w:p w14:paraId="64400516" w14:textId="77777777" w:rsidR="000807A8" w:rsidRPr="000807A8" w:rsidRDefault="000807A8" w:rsidP="00DF3F64">
      <w:pPr>
        <w:numPr>
          <w:ilvl w:val="2"/>
          <w:numId w:val="27"/>
        </w:numPr>
        <w:shd w:val="clear" w:color="auto" w:fill="FFFFFF"/>
        <w:jc w:val="left"/>
        <w:rPr>
          <w:color w:val="172B4D"/>
          <w:spacing w:val="-1"/>
          <w:sz w:val="22"/>
          <w:szCs w:val="22"/>
        </w:rPr>
      </w:pPr>
      <w:r w:rsidRPr="000807A8">
        <w:rPr>
          <w:color w:val="172B4D"/>
          <w:spacing w:val="-1"/>
          <w:sz w:val="22"/>
          <w:szCs w:val="22"/>
        </w:rPr>
        <w:t>If the TCO Min/Max is ITM, exclude the TCO Min/Max and the Options. The total Exposure time is until the Min redelivery.</w:t>
      </w:r>
    </w:p>
    <w:p w14:paraId="070FF6D6" w14:textId="77777777" w:rsidR="000807A8" w:rsidRPr="000807A8" w:rsidRDefault="000807A8" w:rsidP="00DF3F64">
      <w:pPr>
        <w:numPr>
          <w:ilvl w:val="2"/>
          <w:numId w:val="27"/>
        </w:numPr>
        <w:shd w:val="clear" w:color="auto" w:fill="FFFFFF"/>
        <w:jc w:val="left"/>
        <w:rPr>
          <w:color w:val="172B4D"/>
          <w:spacing w:val="-1"/>
          <w:sz w:val="22"/>
          <w:szCs w:val="22"/>
        </w:rPr>
      </w:pPr>
      <w:r w:rsidRPr="000807A8">
        <w:rPr>
          <w:color w:val="172B4D"/>
          <w:spacing w:val="-1"/>
          <w:sz w:val="22"/>
          <w:szCs w:val="22"/>
        </w:rPr>
        <w:t>If the TCO Min/Max is OTM, but the Options are ITM, exclude the Options. The total Exposure time is until the Max redelivery + About Days.</w:t>
      </w:r>
    </w:p>
    <w:p w14:paraId="5902FAEF" w14:textId="1A22AFD9" w:rsidR="001C507B" w:rsidRPr="00493DF3" w:rsidRDefault="000807A8" w:rsidP="00DF3F64">
      <w:pPr>
        <w:numPr>
          <w:ilvl w:val="2"/>
          <w:numId w:val="27"/>
        </w:numPr>
        <w:shd w:val="clear" w:color="auto" w:fill="FFFFFF"/>
        <w:jc w:val="left"/>
        <w:rPr>
          <w:color w:val="172B4D"/>
          <w:spacing w:val="-1"/>
          <w:sz w:val="22"/>
          <w:szCs w:val="22"/>
        </w:rPr>
      </w:pPr>
      <w:r w:rsidRPr="000807A8">
        <w:rPr>
          <w:color w:val="172B4D"/>
          <w:spacing w:val="-1"/>
          <w:sz w:val="22"/>
          <w:szCs w:val="22"/>
        </w:rPr>
        <w:t>If the TCO Min/Max and the Options are OTM, include both. The total Exposure time is until the last option's redelivery + About Days.</w:t>
      </w:r>
    </w:p>
    <w:p w14:paraId="4195000C" w14:textId="77777777" w:rsidR="004B3C10" w:rsidRDefault="004B3C10" w:rsidP="004B3C10"/>
    <w:p w14:paraId="18E2BCE7" w14:textId="26AF9A84" w:rsidR="004B3C10" w:rsidRPr="006E5224" w:rsidRDefault="004B3C10" w:rsidP="006E5224">
      <w:pPr>
        <w:pStyle w:val="ListParagraph"/>
        <w:numPr>
          <w:ilvl w:val="0"/>
          <w:numId w:val="21"/>
        </w:numPr>
        <w:ind w:left="720"/>
        <w:rPr>
          <w:color w:val="4472C4" w:themeColor="accent1"/>
        </w:rPr>
      </w:pPr>
      <w:r w:rsidRPr="006E5224">
        <w:rPr>
          <w:color w:val="4472C4" w:themeColor="accent1"/>
        </w:rPr>
        <w:t>Realize Paper Trade Days Through the Month</w:t>
      </w:r>
    </w:p>
    <w:p w14:paraId="3F3E5659" w14:textId="2B34C170" w:rsidR="005B59A0" w:rsidRPr="00493DF3" w:rsidRDefault="005B59A0" w:rsidP="005B59A0">
      <w:pPr>
        <w:pStyle w:val="ListParagraph"/>
        <w:numPr>
          <w:ilvl w:val="0"/>
          <w:numId w:val="18"/>
        </w:numPr>
        <w:rPr>
          <w:sz w:val="22"/>
          <w:szCs w:val="22"/>
        </w:rPr>
      </w:pPr>
      <w:r w:rsidRPr="00493DF3">
        <w:rPr>
          <w:sz w:val="22"/>
          <w:szCs w:val="22"/>
        </w:rPr>
        <w:t>This will</w:t>
      </w:r>
      <w:r w:rsidR="000D5932" w:rsidRPr="00493DF3">
        <w:rPr>
          <w:sz w:val="22"/>
          <w:szCs w:val="22"/>
        </w:rPr>
        <w:t xml:space="preserve"> Realize the P&amp;L of your paper trades throughout the month</w:t>
      </w:r>
      <w:r w:rsidR="009F322D" w:rsidRPr="00493DF3">
        <w:rPr>
          <w:sz w:val="22"/>
          <w:szCs w:val="22"/>
        </w:rPr>
        <w:t xml:space="preserve"> (as each day passes).</w:t>
      </w:r>
    </w:p>
    <w:p w14:paraId="542031D5" w14:textId="77777777" w:rsidR="004B3C10" w:rsidRDefault="004B3C10" w:rsidP="004B3C10"/>
    <w:p w14:paraId="04123197" w14:textId="73A402B1" w:rsidR="004B3C10" w:rsidRPr="006E5224" w:rsidRDefault="004B3C10" w:rsidP="006E5224">
      <w:pPr>
        <w:pStyle w:val="ListParagraph"/>
        <w:numPr>
          <w:ilvl w:val="0"/>
          <w:numId w:val="21"/>
        </w:numPr>
        <w:ind w:left="720"/>
        <w:rPr>
          <w:color w:val="4472C4" w:themeColor="accent1"/>
        </w:rPr>
      </w:pPr>
      <w:r w:rsidRPr="006E5224">
        <w:rPr>
          <w:color w:val="4472C4" w:themeColor="accent1"/>
        </w:rPr>
        <w:t>Adjust Exposure and P&amp;L for Profit Share</w:t>
      </w:r>
    </w:p>
    <w:p w14:paraId="51D360A6" w14:textId="3C0D031C" w:rsidR="0027614C" w:rsidRPr="00493DF3" w:rsidRDefault="009F322D" w:rsidP="0027614C">
      <w:pPr>
        <w:pStyle w:val="ListParagraph"/>
        <w:numPr>
          <w:ilvl w:val="0"/>
          <w:numId w:val="18"/>
        </w:numPr>
        <w:rPr>
          <w:sz w:val="22"/>
          <w:szCs w:val="22"/>
        </w:rPr>
      </w:pPr>
      <w:r w:rsidRPr="00493DF3">
        <w:rPr>
          <w:sz w:val="22"/>
          <w:szCs w:val="22"/>
        </w:rPr>
        <w:t>Takes Profit Share</w:t>
      </w:r>
      <w:r w:rsidR="00C630E0" w:rsidRPr="00493DF3">
        <w:rPr>
          <w:sz w:val="22"/>
          <w:szCs w:val="22"/>
        </w:rPr>
        <w:t xml:space="preserve"> from the contract</w:t>
      </w:r>
      <w:r w:rsidRPr="00493DF3">
        <w:rPr>
          <w:sz w:val="22"/>
          <w:szCs w:val="22"/>
        </w:rPr>
        <w:t xml:space="preserve"> into account</w:t>
      </w:r>
      <w:r w:rsidR="00C630E0" w:rsidRPr="00493DF3">
        <w:rPr>
          <w:sz w:val="22"/>
          <w:szCs w:val="22"/>
        </w:rPr>
        <w:t xml:space="preserve"> and applies it to Exposure and P&amp;L</w:t>
      </w:r>
    </w:p>
    <w:p w14:paraId="603837B9" w14:textId="77777777" w:rsidR="004B3C10" w:rsidRDefault="004B3C10" w:rsidP="004B3C10"/>
    <w:p w14:paraId="1913BD98" w14:textId="77777777" w:rsidR="00190967" w:rsidRDefault="00190967" w:rsidP="004B3C10"/>
    <w:p w14:paraId="1913E7C8" w14:textId="77777777" w:rsidR="00D27A5C" w:rsidRDefault="00D27A5C" w:rsidP="004B3C10"/>
    <w:p w14:paraId="00C4DA20" w14:textId="77777777" w:rsidR="00190967" w:rsidRDefault="00190967" w:rsidP="004B3C10"/>
    <w:p w14:paraId="1561C844" w14:textId="48B4095B" w:rsidR="004B3C10" w:rsidRPr="006E5224" w:rsidRDefault="004B3C10" w:rsidP="006E5224">
      <w:pPr>
        <w:pStyle w:val="ListParagraph"/>
        <w:numPr>
          <w:ilvl w:val="0"/>
          <w:numId w:val="21"/>
        </w:numPr>
        <w:ind w:left="720"/>
        <w:rPr>
          <w:color w:val="4472C4" w:themeColor="accent1"/>
        </w:rPr>
      </w:pPr>
      <w:r w:rsidRPr="006E5224">
        <w:rPr>
          <w:color w:val="4472C4" w:themeColor="accent1"/>
        </w:rPr>
        <w:lastRenderedPageBreak/>
        <w:t>Include TC Bunker ROB Exposure</w:t>
      </w:r>
    </w:p>
    <w:p w14:paraId="04B4BFCD" w14:textId="3A2612E8" w:rsidR="004B3C10" w:rsidRDefault="009820E4" w:rsidP="000A2A23">
      <w:pPr>
        <w:pStyle w:val="ListParagraph"/>
        <w:numPr>
          <w:ilvl w:val="0"/>
          <w:numId w:val="18"/>
        </w:numPr>
        <w:rPr>
          <w:sz w:val="22"/>
          <w:szCs w:val="22"/>
        </w:rPr>
      </w:pPr>
      <w:r w:rsidRPr="00493DF3">
        <w:rPr>
          <w:sz w:val="22"/>
          <w:szCs w:val="22"/>
        </w:rPr>
        <w:t xml:space="preserve">Select to have </w:t>
      </w:r>
      <w:r w:rsidR="003D3A69" w:rsidRPr="00493DF3">
        <w:rPr>
          <w:sz w:val="22"/>
          <w:szCs w:val="22"/>
        </w:rPr>
        <w:t xml:space="preserve">Exposure for </w:t>
      </w:r>
      <w:r w:rsidRPr="00493DF3">
        <w:rPr>
          <w:sz w:val="22"/>
          <w:szCs w:val="22"/>
        </w:rPr>
        <w:t>bunkers that are planned to be remaining on board at the end of the current voyage for TCIs</w:t>
      </w:r>
      <w:r w:rsidR="001F6034" w:rsidRPr="00493DF3">
        <w:rPr>
          <w:sz w:val="22"/>
          <w:szCs w:val="22"/>
        </w:rPr>
        <w:t>, or Redelivery Bunkers for TCOs</w:t>
      </w:r>
    </w:p>
    <w:p w14:paraId="5734EFF7" w14:textId="77777777" w:rsidR="00190967" w:rsidRPr="00493DF3" w:rsidRDefault="00190967" w:rsidP="00190967">
      <w:pPr>
        <w:pStyle w:val="ListParagraph"/>
        <w:ind w:left="1080"/>
        <w:rPr>
          <w:sz w:val="22"/>
          <w:szCs w:val="22"/>
        </w:rPr>
      </w:pPr>
    </w:p>
    <w:p w14:paraId="7FD51F4D" w14:textId="5C083C0E" w:rsidR="00DE2317" w:rsidRPr="00E568BE" w:rsidRDefault="00DE2317" w:rsidP="00E568BE">
      <w:pPr>
        <w:pStyle w:val="ListParagraph"/>
        <w:numPr>
          <w:ilvl w:val="0"/>
          <w:numId w:val="21"/>
        </w:numPr>
        <w:rPr>
          <w:color w:val="4472C4" w:themeColor="accent1"/>
        </w:rPr>
      </w:pPr>
      <w:r w:rsidRPr="00E568BE">
        <w:rPr>
          <w:color w:val="4472C4" w:themeColor="accent1"/>
        </w:rPr>
        <w:t>Include on Last TCI</w:t>
      </w:r>
    </w:p>
    <w:p w14:paraId="1E8F5FBF" w14:textId="5BB2A9B3" w:rsidR="00B22473" w:rsidRDefault="00B85332" w:rsidP="00E568BE">
      <w:pPr>
        <w:pStyle w:val="ListParagraph"/>
        <w:numPr>
          <w:ilvl w:val="0"/>
          <w:numId w:val="18"/>
        </w:numPr>
        <w:ind w:left="1800"/>
        <w:rPr>
          <w:sz w:val="22"/>
          <w:szCs w:val="22"/>
        </w:rPr>
      </w:pPr>
      <w:r w:rsidRPr="00493DF3">
        <w:rPr>
          <w:sz w:val="22"/>
          <w:szCs w:val="22"/>
        </w:rPr>
        <w:t xml:space="preserve">Select to continue to calculate ROB exposure after the </w:t>
      </w:r>
      <w:r w:rsidR="0070663D">
        <w:rPr>
          <w:sz w:val="22"/>
          <w:szCs w:val="22"/>
        </w:rPr>
        <w:t>“L</w:t>
      </w:r>
      <w:r w:rsidRPr="00493DF3">
        <w:rPr>
          <w:sz w:val="22"/>
          <w:szCs w:val="22"/>
        </w:rPr>
        <w:t>ast TCI</w:t>
      </w:r>
      <w:r w:rsidR="0070663D">
        <w:rPr>
          <w:sz w:val="22"/>
          <w:szCs w:val="22"/>
        </w:rPr>
        <w:t>”</w:t>
      </w:r>
      <w:r w:rsidRPr="00493DF3">
        <w:rPr>
          <w:sz w:val="22"/>
          <w:szCs w:val="22"/>
        </w:rPr>
        <w:t xml:space="preserve"> is selected on the voyage.</w:t>
      </w:r>
    </w:p>
    <w:p w14:paraId="23D12F9B" w14:textId="1EA91FA1" w:rsidR="001570EB" w:rsidRDefault="001570EB" w:rsidP="00E568BE">
      <w:pPr>
        <w:pStyle w:val="ListParagraph"/>
        <w:numPr>
          <w:ilvl w:val="0"/>
          <w:numId w:val="18"/>
        </w:numPr>
        <w:ind w:left="1800"/>
        <w:rPr>
          <w:sz w:val="22"/>
          <w:szCs w:val="22"/>
        </w:rPr>
      </w:pPr>
      <w:r>
        <w:rPr>
          <w:sz w:val="22"/>
          <w:szCs w:val="22"/>
        </w:rPr>
        <w:t>“Last TCI” indicates the last voyage of the Time Charter contract.</w:t>
      </w:r>
    </w:p>
    <w:p w14:paraId="44D0B784" w14:textId="77777777" w:rsidR="00190967" w:rsidRPr="00493DF3" w:rsidRDefault="00190967" w:rsidP="00190967">
      <w:pPr>
        <w:pStyle w:val="ListParagraph"/>
        <w:ind w:left="1800"/>
        <w:rPr>
          <w:sz w:val="22"/>
          <w:szCs w:val="22"/>
        </w:rPr>
      </w:pPr>
    </w:p>
    <w:p w14:paraId="519F31F2" w14:textId="7CF1007F" w:rsidR="00DE2317" w:rsidRDefault="00B22473" w:rsidP="00DE2317">
      <w:pPr>
        <w:pStyle w:val="ListParagraph"/>
        <w:numPr>
          <w:ilvl w:val="1"/>
          <w:numId w:val="18"/>
        </w:numPr>
        <w:rPr>
          <w:color w:val="4472C4" w:themeColor="accent1"/>
        </w:rPr>
      </w:pPr>
      <w:r w:rsidRPr="007E7D82">
        <w:rPr>
          <w:color w:val="4472C4" w:themeColor="accent1"/>
        </w:rPr>
        <w:t>Ordered Bunkers Only</w:t>
      </w:r>
      <w:r w:rsidR="007B6C98">
        <w:rPr>
          <w:color w:val="4472C4" w:themeColor="accent1"/>
        </w:rPr>
        <w:t xml:space="preserve"> </w:t>
      </w:r>
    </w:p>
    <w:p w14:paraId="01E97200" w14:textId="0C4887E0" w:rsidR="00CC6A21" w:rsidRDefault="00CC6A21" w:rsidP="00CC6A21">
      <w:pPr>
        <w:pStyle w:val="ListParagraph"/>
        <w:numPr>
          <w:ilvl w:val="0"/>
          <w:numId w:val="18"/>
        </w:numPr>
        <w:ind w:left="1800"/>
        <w:rPr>
          <w:sz w:val="22"/>
          <w:szCs w:val="22"/>
        </w:rPr>
      </w:pPr>
      <w:r w:rsidRPr="00493DF3">
        <w:rPr>
          <w:sz w:val="22"/>
          <w:szCs w:val="22"/>
        </w:rPr>
        <w:t xml:space="preserve">This </w:t>
      </w:r>
      <w:r w:rsidR="00584BD5" w:rsidRPr="00493DF3">
        <w:rPr>
          <w:sz w:val="22"/>
          <w:szCs w:val="22"/>
        </w:rPr>
        <w:t>only include bunker inventory exposure when the bunkers have been ordered or lifted, and not when they are planned.</w:t>
      </w:r>
    </w:p>
    <w:p w14:paraId="7687622C" w14:textId="77777777" w:rsidR="00190967" w:rsidRPr="00493DF3" w:rsidRDefault="00190967" w:rsidP="00190967">
      <w:pPr>
        <w:pStyle w:val="ListParagraph"/>
        <w:ind w:left="1800"/>
        <w:rPr>
          <w:sz w:val="22"/>
          <w:szCs w:val="22"/>
        </w:rPr>
      </w:pPr>
    </w:p>
    <w:p w14:paraId="3EC0F78D" w14:textId="4AC02C59" w:rsidR="00B22473" w:rsidRDefault="00B22473" w:rsidP="00DE2317">
      <w:pPr>
        <w:pStyle w:val="ListParagraph"/>
        <w:numPr>
          <w:ilvl w:val="1"/>
          <w:numId w:val="18"/>
        </w:numPr>
        <w:rPr>
          <w:color w:val="4472C4" w:themeColor="accent1"/>
        </w:rPr>
      </w:pPr>
      <w:r w:rsidRPr="007E7D82">
        <w:rPr>
          <w:color w:val="4472C4" w:themeColor="accent1"/>
        </w:rPr>
        <w:t>Display ROB Exposure Based on Future Scheduling</w:t>
      </w:r>
    </w:p>
    <w:p w14:paraId="15C750C8" w14:textId="77777777" w:rsidR="00221627" w:rsidRPr="00493DF3" w:rsidRDefault="00221627" w:rsidP="00484EA7">
      <w:pPr>
        <w:numPr>
          <w:ilvl w:val="0"/>
          <w:numId w:val="18"/>
        </w:numPr>
        <w:shd w:val="clear" w:color="auto" w:fill="FFFFFF"/>
        <w:ind w:left="1800"/>
        <w:jc w:val="left"/>
        <w:rPr>
          <w:spacing w:val="-1"/>
          <w:sz w:val="22"/>
          <w:szCs w:val="22"/>
        </w:rPr>
      </w:pPr>
      <w:r w:rsidRPr="00493DF3">
        <w:rPr>
          <w:spacing w:val="-1"/>
          <w:sz w:val="22"/>
          <w:szCs w:val="22"/>
        </w:rPr>
        <w:t>When a future voyage scheduled for a vessel is a TCTO:</w:t>
      </w:r>
    </w:p>
    <w:p w14:paraId="1A72BA69" w14:textId="77777777" w:rsidR="00221627" w:rsidRPr="00493DF3" w:rsidRDefault="00221627" w:rsidP="00165E34">
      <w:pPr>
        <w:numPr>
          <w:ilvl w:val="2"/>
          <w:numId w:val="26"/>
        </w:numPr>
        <w:shd w:val="clear" w:color="auto" w:fill="FFFFFF"/>
        <w:jc w:val="left"/>
        <w:rPr>
          <w:spacing w:val="-1"/>
          <w:sz w:val="22"/>
          <w:szCs w:val="22"/>
        </w:rPr>
      </w:pPr>
      <w:r w:rsidRPr="00493DF3">
        <w:rPr>
          <w:spacing w:val="-1"/>
          <w:sz w:val="22"/>
          <w:szCs w:val="22"/>
        </w:rPr>
        <w:t>The net of the preceding voyage’s ROBs and the delivery bunkers for the TC Out will be reflected in exposure.</w:t>
      </w:r>
    </w:p>
    <w:p w14:paraId="3E661900" w14:textId="77777777" w:rsidR="00221627" w:rsidRPr="00493DF3" w:rsidRDefault="00221627" w:rsidP="00165E34">
      <w:pPr>
        <w:numPr>
          <w:ilvl w:val="2"/>
          <w:numId w:val="26"/>
        </w:numPr>
        <w:shd w:val="clear" w:color="auto" w:fill="FFFFFF"/>
        <w:jc w:val="left"/>
        <w:rPr>
          <w:spacing w:val="-1"/>
          <w:sz w:val="22"/>
          <w:szCs w:val="22"/>
        </w:rPr>
      </w:pPr>
      <w:r w:rsidRPr="00493DF3">
        <w:rPr>
          <w:spacing w:val="-1"/>
          <w:sz w:val="22"/>
          <w:szCs w:val="22"/>
        </w:rPr>
        <w:t>Redelivery bunkers will be in exposure if the TCTO is the last scheduled voyage.</w:t>
      </w:r>
    </w:p>
    <w:p w14:paraId="5CE671AA" w14:textId="77777777" w:rsidR="00E51527" w:rsidRPr="00493DF3" w:rsidRDefault="00221627" w:rsidP="00165E34">
      <w:pPr>
        <w:numPr>
          <w:ilvl w:val="2"/>
          <w:numId w:val="26"/>
        </w:numPr>
        <w:shd w:val="clear" w:color="auto" w:fill="FFFFFF"/>
        <w:jc w:val="left"/>
        <w:rPr>
          <w:spacing w:val="-1"/>
          <w:sz w:val="22"/>
          <w:szCs w:val="22"/>
        </w:rPr>
      </w:pPr>
      <w:r w:rsidRPr="00493DF3">
        <w:rPr>
          <w:spacing w:val="-1"/>
          <w:sz w:val="22"/>
          <w:szCs w:val="22"/>
        </w:rPr>
        <w:t>If there is a voyage scheduled after the TCTO voyage, then the redelivery bunkers will not be in exposure as they are considered covered by the next voyage.</w:t>
      </w:r>
    </w:p>
    <w:p w14:paraId="337A06ED" w14:textId="225B6939" w:rsidR="007B743A" w:rsidRPr="00B641FA" w:rsidRDefault="00221627" w:rsidP="007B743A">
      <w:pPr>
        <w:pStyle w:val="ListParagraph"/>
        <w:numPr>
          <w:ilvl w:val="0"/>
          <w:numId w:val="18"/>
        </w:numPr>
        <w:shd w:val="clear" w:color="auto" w:fill="FFFFFF"/>
        <w:ind w:left="1800"/>
        <w:jc w:val="left"/>
        <w:rPr>
          <w:spacing w:val="-1"/>
          <w:sz w:val="22"/>
          <w:szCs w:val="22"/>
        </w:rPr>
      </w:pPr>
      <w:r w:rsidRPr="00493DF3">
        <w:rPr>
          <w:spacing w:val="-1"/>
          <w:sz w:val="22"/>
          <w:szCs w:val="22"/>
        </w:rPr>
        <w:t>Any voyages scheduled after the TCTO voyage will operate the same way, in that the bunker exposure will reflect the last ROBs from the final scheduled voyage and the redelivery bunkers for the TC In.</w:t>
      </w:r>
    </w:p>
    <w:p w14:paraId="20C5564A" w14:textId="77777777" w:rsidR="007B743A" w:rsidRDefault="007B743A" w:rsidP="004B3C10"/>
    <w:p w14:paraId="059E77D6" w14:textId="130A4237" w:rsidR="006E5224" w:rsidRPr="006C5C45" w:rsidRDefault="004B3C10" w:rsidP="003D3A69">
      <w:pPr>
        <w:pStyle w:val="ListParagraph"/>
        <w:numPr>
          <w:ilvl w:val="0"/>
          <w:numId w:val="21"/>
        </w:numPr>
        <w:ind w:left="720"/>
        <w:rPr>
          <w:color w:val="4472C4" w:themeColor="accent1"/>
        </w:rPr>
      </w:pPr>
      <w:r w:rsidRPr="006E5224">
        <w:rPr>
          <w:color w:val="4472C4" w:themeColor="accent1"/>
        </w:rPr>
        <w:t>Split Cargo/VC In Exposure Days Across Months</w:t>
      </w:r>
    </w:p>
    <w:p w14:paraId="4297B0C1" w14:textId="2B5C97E4" w:rsidR="004B3C10" w:rsidRPr="00493DF3" w:rsidRDefault="00D14409" w:rsidP="006C5C45">
      <w:pPr>
        <w:pStyle w:val="ListParagraph"/>
        <w:numPr>
          <w:ilvl w:val="0"/>
          <w:numId w:val="18"/>
        </w:numPr>
        <w:rPr>
          <w:sz w:val="22"/>
          <w:szCs w:val="22"/>
        </w:rPr>
      </w:pPr>
      <w:r w:rsidRPr="00493DF3">
        <w:rPr>
          <w:sz w:val="22"/>
          <w:szCs w:val="22"/>
        </w:rPr>
        <w:t xml:space="preserve">This will split exposure days, tons, and P&amp;L of a Cargo/VC In </w:t>
      </w:r>
      <w:r w:rsidR="00635088" w:rsidRPr="00493DF3">
        <w:rPr>
          <w:sz w:val="22"/>
          <w:szCs w:val="22"/>
        </w:rPr>
        <w:t xml:space="preserve">into months, starting from the Laycan From (or Exposure </w:t>
      </w:r>
      <w:r w:rsidR="00B5749B" w:rsidRPr="00493DF3">
        <w:rPr>
          <w:sz w:val="22"/>
          <w:szCs w:val="22"/>
        </w:rPr>
        <w:t>B</w:t>
      </w:r>
      <w:r w:rsidR="00635088" w:rsidRPr="00493DF3">
        <w:rPr>
          <w:sz w:val="22"/>
          <w:szCs w:val="22"/>
        </w:rPr>
        <w:t xml:space="preserve">asis Date if it is </w:t>
      </w:r>
      <w:r w:rsidR="000C778B" w:rsidRPr="00493DF3">
        <w:rPr>
          <w:sz w:val="22"/>
          <w:szCs w:val="22"/>
        </w:rPr>
        <w:t xml:space="preserve">populated). P&amp;L Calculations use </w:t>
      </w:r>
      <w:r w:rsidR="00A713B4" w:rsidRPr="00493DF3">
        <w:rPr>
          <w:sz w:val="22"/>
          <w:szCs w:val="22"/>
        </w:rPr>
        <w:t>forward rates of the first month and are allocated to months in proportion to the exposure days of each month. For a Cargo linked to a</w:t>
      </w:r>
      <w:r w:rsidR="00B5749B" w:rsidRPr="00493DF3">
        <w:rPr>
          <w:sz w:val="22"/>
          <w:szCs w:val="22"/>
        </w:rPr>
        <w:t xml:space="preserve"> Benchmark estimate the voyage days = the exposure days. </w:t>
      </w:r>
    </w:p>
    <w:p w14:paraId="3DEC55FF" w14:textId="429A6614" w:rsidR="00510F3D" w:rsidRDefault="00C26E3F" w:rsidP="00C26E3F">
      <w:pPr>
        <w:pStyle w:val="ListParagraph"/>
        <w:numPr>
          <w:ilvl w:val="0"/>
          <w:numId w:val="18"/>
        </w:numPr>
        <w:rPr>
          <w:sz w:val="22"/>
          <w:szCs w:val="22"/>
        </w:rPr>
      </w:pPr>
      <w:r w:rsidRPr="00493DF3">
        <w:rPr>
          <w:sz w:val="22"/>
          <w:szCs w:val="22"/>
        </w:rPr>
        <w:t xml:space="preserve">If </w:t>
      </w:r>
      <w:r w:rsidR="00693A17" w:rsidRPr="00493DF3">
        <w:rPr>
          <w:sz w:val="22"/>
          <w:szCs w:val="22"/>
        </w:rPr>
        <w:t xml:space="preserve">exposure days = 20 days and the voyage starts on </w:t>
      </w:r>
      <w:r w:rsidR="0082644D" w:rsidRPr="00493DF3">
        <w:rPr>
          <w:sz w:val="22"/>
          <w:szCs w:val="22"/>
        </w:rPr>
        <w:t>June 15, you will show 15 days exposure for June and 5 days exposure for July</w:t>
      </w:r>
      <w:r w:rsidR="00EB197B">
        <w:rPr>
          <w:sz w:val="22"/>
          <w:szCs w:val="22"/>
        </w:rPr>
        <w:t>.</w:t>
      </w:r>
    </w:p>
    <w:p w14:paraId="5D1A1F44" w14:textId="03E5208D" w:rsidR="00735A8A" w:rsidRPr="00493DF3" w:rsidRDefault="00735A8A" w:rsidP="00C26E3F">
      <w:pPr>
        <w:pStyle w:val="ListParagraph"/>
        <w:numPr>
          <w:ilvl w:val="0"/>
          <w:numId w:val="18"/>
        </w:numPr>
        <w:rPr>
          <w:sz w:val="22"/>
          <w:szCs w:val="22"/>
        </w:rPr>
      </w:pPr>
      <w:r>
        <w:rPr>
          <w:sz w:val="22"/>
          <w:szCs w:val="22"/>
        </w:rPr>
        <w:t>Without this check-box</w:t>
      </w:r>
      <w:r w:rsidR="002869A6">
        <w:rPr>
          <w:sz w:val="22"/>
          <w:szCs w:val="22"/>
        </w:rPr>
        <w:t xml:space="preserve"> checked,</w:t>
      </w:r>
      <w:r>
        <w:rPr>
          <w:sz w:val="22"/>
          <w:szCs w:val="22"/>
        </w:rPr>
        <w:t xml:space="preserve"> a </w:t>
      </w:r>
      <w:r w:rsidR="00D635BE">
        <w:rPr>
          <w:sz w:val="22"/>
          <w:szCs w:val="22"/>
        </w:rPr>
        <w:t>cargo with 4</w:t>
      </w:r>
      <w:r w:rsidR="002869A6">
        <w:rPr>
          <w:sz w:val="22"/>
          <w:szCs w:val="22"/>
        </w:rPr>
        <w:t>0</w:t>
      </w:r>
      <w:r w:rsidR="00D635BE">
        <w:rPr>
          <w:sz w:val="22"/>
          <w:szCs w:val="22"/>
        </w:rPr>
        <w:t xml:space="preserve"> days exposure</w:t>
      </w:r>
      <w:r w:rsidR="00FA2526">
        <w:rPr>
          <w:sz w:val="22"/>
          <w:szCs w:val="22"/>
        </w:rPr>
        <w:t>, scheduled for June 1,</w:t>
      </w:r>
      <w:r w:rsidR="00D635BE">
        <w:rPr>
          <w:sz w:val="22"/>
          <w:szCs w:val="22"/>
        </w:rPr>
        <w:t xml:space="preserve"> will </w:t>
      </w:r>
      <w:r w:rsidR="00FA2526">
        <w:rPr>
          <w:sz w:val="22"/>
          <w:szCs w:val="22"/>
        </w:rPr>
        <w:t>show all 4</w:t>
      </w:r>
      <w:r w:rsidR="002869A6">
        <w:rPr>
          <w:sz w:val="22"/>
          <w:szCs w:val="22"/>
        </w:rPr>
        <w:t>0</w:t>
      </w:r>
      <w:r w:rsidR="00FA2526">
        <w:rPr>
          <w:sz w:val="22"/>
          <w:szCs w:val="22"/>
        </w:rPr>
        <w:t xml:space="preserve"> days of exposure in the month of June.</w:t>
      </w:r>
    </w:p>
    <w:p w14:paraId="47CDD8CD" w14:textId="77777777" w:rsidR="007C231B" w:rsidRPr="006C5C45" w:rsidRDefault="007C231B" w:rsidP="007C231B"/>
    <w:p w14:paraId="4015C0CD" w14:textId="7AB62A3F" w:rsidR="004B3C10" w:rsidRPr="006E5224" w:rsidRDefault="004B3C10" w:rsidP="003D3A69">
      <w:pPr>
        <w:pStyle w:val="ListParagraph"/>
        <w:numPr>
          <w:ilvl w:val="0"/>
          <w:numId w:val="21"/>
        </w:numPr>
        <w:ind w:left="720"/>
        <w:rPr>
          <w:color w:val="4472C4" w:themeColor="accent1"/>
        </w:rPr>
      </w:pPr>
      <w:r w:rsidRPr="006E5224">
        <w:rPr>
          <w:color w:val="4472C4" w:themeColor="accent1"/>
        </w:rPr>
        <w:t>Include Inquiry Cargoes</w:t>
      </w:r>
    </w:p>
    <w:p w14:paraId="6A19670B" w14:textId="0AF6A07B" w:rsidR="004B3C10" w:rsidRPr="00493DF3" w:rsidRDefault="006C5C45" w:rsidP="006C5C45">
      <w:pPr>
        <w:pStyle w:val="ListParagraph"/>
        <w:numPr>
          <w:ilvl w:val="0"/>
          <w:numId w:val="18"/>
        </w:numPr>
        <w:rPr>
          <w:sz w:val="22"/>
          <w:szCs w:val="22"/>
        </w:rPr>
      </w:pPr>
      <w:r w:rsidRPr="007C231B">
        <w:t xml:space="preserve"> </w:t>
      </w:r>
      <w:r w:rsidR="007C231B" w:rsidRPr="00493DF3">
        <w:rPr>
          <w:sz w:val="22"/>
          <w:szCs w:val="22"/>
        </w:rPr>
        <w:t>Cargo</w:t>
      </w:r>
      <w:r w:rsidR="00DB1E39" w:rsidRPr="00493DF3">
        <w:rPr>
          <w:sz w:val="22"/>
          <w:szCs w:val="22"/>
        </w:rPr>
        <w:t xml:space="preserve">es with a </w:t>
      </w:r>
      <w:r w:rsidR="002C2F6D">
        <w:rPr>
          <w:sz w:val="22"/>
          <w:szCs w:val="22"/>
        </w:rPr>
        <w:t xml:space="preserve">contract </w:t>
      </w:r>
      <w:r w:rsidR="00DB1E39" w:rsidRPr="00493DF3">
        <w:rPr>
          <w:sz w:val="22"/>
          <w:szCs w:val="22"/>
        </w:rPr>
        <w:t>status of “Inquiry” will be included</w:t>
      </w:r>
      <w:r w:rsidR="00105DE6" w:rsidRPr="00493DF3">
        <w:rPr>
          <w:sz w:val="22"/>
          <w:szCs w:val="22"/>
        </w:rPr>
        <w:t xml:space="preserve"> in the Trading P&amp;L Summary</w:t>
      </w:r>
    </w:p>
    <w:p w14:paraId="7AD70849" w14:textId="77777777" w:rsidR="008A1910" w:rsidRDefault="008A1910" w:rsidP="008A1910"/>
    <w:p w14:paraId="1E906694" w14:textId="77777777" w:rsidR="00190967" w:rsidRDefault="00190967" w:rsidP="008A1910"/>
    <w:p w14:paraId="69481739" w14:textId="77777777" w:rsidR="00190967" w:rsidRDefault="00190967" w:rsidP="008A1910"/>
    <w:p w14:paraId="510AF9A0" w14:textId="77777777" w:rsidR="004C2B84" w:rsidRPr="007C231B" w:rsidRDefault="004C2B84" w:rsidP="008A1910"/>
    <w:p w14:paraId="7F3F1A4A" w14:textId="208FA4F0" w:rsidR="004B3C10" w:rsidRPr="004C0E8F" w:rsidRDefault="004B3C10" w:rsidP="003D3A69">
      <w:pPr>
        <w:pStyle w:val="ListParagraph"/>
        <w:numPr>
          <w:ilvl w:val="0"/>
          <w:numId w:val="21"/>
        </w:numPr>
        <w:ind w:left="720"/>
        <w:rPr>
          <w:color w:val="4472C4" w:themeColor="accent1"/>
        </w:rPr>
      </w:pPr>
      <w:r w:rsidRPr="004C0E8F">
        <w:rPr>
          <w:color w:val="4472C4" w:themeColor="accent1"/>
        </w:rPr>
        <w:t>Short Position For Cargo On Index-Linked TCI</w:t>
      </w:r>
    </w:p>
    <w:p w14:paraId="4DDE52C6" w14:textId="08FBA97C" w:rsidR="00A62EB1" w:rsidRPr="00493DF3" w:rsidRDefault="00A62EB1" w:rsidP="00A62EB1">
      <w:pPr>
        <w:pStyle w:val="ListParagraph"/>
        <w:numPr>
          <w:ilvl w:val="0"/>
          <w:numId w:val="18"/>
        </w:numPr>
        <w:rPr>
          <w:sz w:val="22"/>
          <w:szCs w:val="22"/>
        </w:rPr>
      </w:pPr>
      <w:r w:rsidRPr="00493DF3">
        <w:rPr>
          <w:sz w:val="22"/>
          <w:szCs w:val="22"/>
        </w:rPr>
        <w:t xml:space="preserve">Scheduled cargoes on uncompleted TCOV voyages with an index-linked TCI will still show short days exposure equal to the </w:t>
      </w:r>
      <w:r w:rsidR="005C3C22" w:rsidRPr="00493DF3">
        <w:rPr>
          <w:sz w:val="22"/>
          <w:szCs w:val="22"/>
        </w:rPr>
        <w:t>minimum between the voyage days and the duration of today’s date to voyage completion date.</w:t>
      </w:r>
    </w:p>
    <w:p w14:paraId="26716E8E" w14:textId="0BCAE74A" w:rsidR="00105DE6" w:rsidRPr="00493DF3" w:rsidRDefault="005C3C22" w:rsidP="00105DE6">
      <w:pPr>
        <w:pStyle w:val="ListParagraph"/>
        <w:numPr>
          <w:ilvl w:val="0"/>
          <w:numId w:val="18"/>
        </w:numPr>
        <w:shd w:val="clear" w:color="auto" w:fill="FFFFFF"/>
        <w:jc w:val="left"/>
        <w:rPr>
          <w:spacing w:val="-1"/>
          <w:sz w:val="22"/>
          <w:szCs w:val="22"/>
        </w:rPr>
      </w:pPr>
      <w:r w:rsidRPr="00493DF3">
        <w:rPr>
          <w:spacing w:val="-1"/>
          <w:sz w:val="22"/>
          <w:szCs w:val="22"/>
        </w:rPr>
        <w:t>T</w:t>
      </w:r>
      <w:r w:rsidR="00105DE6" w:rsidRPr="00493DF3">
        <w:rPr>
          <w:spacing w:val="-1"/>
          <w:sz w:val="22"/>
          <w:szCs w:val="22"/>
        </w:rPr>
        <w:t>his flag enables the Cargo tied to the Index-linked TC In to remain in exposure, resulting in the Cargo exposure spread across more than 1 month. If the flag is unchecked, then the Cargo P&amp;L sits in the first month.</w:t>
      </w:r>
    </w:p>
    <w:p w14:paraId="68AB17A6" w14:textId="6E993D2D" w:rsidR="00105DE6" w:rsidRPr="00493DF3" w:rsidRDefault="00105DE6" w:rsidP="00105DE6">
      <w:pPr>
        <w:pStyle w:val="ListParagraph"/>
        <w:numPr>
          <w:ilvl w:val="0"/>
          <w:numId w:val="18"/>
        </w:numPr>
        <w:shd w:val="clear" w:color="auto" w:fill="FFFFFF"/>
        <w:jc w:val="left"/>
        <w:rPr>
          <w:spacing w:val="-1"/>
          <w:sz w:val="22"/>
          <w:szCs w:val="22"/>
        </w:rPr>
      </w:pPr>
      <w:r w:rsidRPr="00493DF3">
        <w:rPr>
          <w:spacing w:val="-1"/>
          <w:sz w:val="22"/>
          <w:szCs w:val="22"/>
        </w:rPr>
        <w:t xml:space="preserve">The rationale for having this configuration option is that the Index-linked TC In is said to have </w:t>
      </w:r>
      <w:r w:rsidR="009A6C66" w:rsidRPr="00493DF3">
        <w:rPr>
          <w:spacing w:val="-1"/>
          <w:sz w:val="22"/>
          <w:szCs w:val="22"/>
        </w:rPr>
        <w:t>“</w:t>
      </w:r>
      <w:r w:rsidRPr="00493DF3">
        <w:rPr>
          <w:spacing w:val="-1"/>
          <w:sz w:val="22"/>
          <w:szCs w:val="22"/>
        </w:rPr>
        <w:t>no Exposure to the market</w:t>
      </w:r>
      <w:r w:rsidR="009A6C66" w:rsidRPr="00493DF3">
        <w:rPr>
          <w:spacing w:val="-1"/>
          <w:sz w:val="22"/>
          <w:szCs w:val="22"/>
        </w:rPr>
        <w:t>”</w:t>
      </w:r>
      <w:r w:rsidRPr="00493DF3">
        <w:rPr>
          <w:spacing w:val="-1"/>
          <w:sz w:val="22"/>
          <w:szCs w:val="22"/>
        </w:rPr>
        <w:t>, and therefore the Cargo’s position does not get flattened. </w:t>
      </w:r>
    </w:p>
    <w:p w14:paraId="6C4DE664" w14:textId="5717372B" w:rsidR="004B3C10" w:rsidRDefault="004B3C10" w:rsidP="00105DE6">
      <w:pPr>
        <w:pStyle w:val="ListParagraph"/>
        <w:ind w:left="1080"/>
        <w:rPr>
          <w:color w:val="4472C4" w:themeColor="accent1"/>
        </w:rPr>
      </w:pPr>
    </w:p>
    <w:p w14:paraId="3E1EFE05" w14:textId="22725863" w:rsidR="004B3C10" w:rsidRPr="006E5224" w:rsidRDefault="004B3C10" w:rsidP="003D3A69">
      <w:pPr>
        <w:pStyle w:val="ListParagraph"/>
        <w:numPr>
          <w:ilvl w:val="0"/>
          <w:numId w:val="21"/>
        </w:numPr>
        <w:ind w:left="720"/>
        <w:rPr>
          <w:color w:val="4472C4" w:themeColor="accent1"/>
        </w:rPr>
      </w:pPr>
      <w:r w:rsidRPr="006E5224">
        <w:rPr>
          <w:color w:val="4472C4" w:themeColor="accent1"/>
        </w:rPr>
        <w:t>Keep Fixed Contracts In Exposure</w:t>
      </w:r>
    </w:p>
    <w:p w14:paraId="1C7CC894" w14:textId="6EE1B363" w:rsidR="004B3C10" w:rsidRPr="00493DF3" w:rsidRDefault="000C4C74" w:rsidP="006C5C45">
      <w:pPr>
        <w:pStyle w:val="ListParagraph"/>
        <w:numPr>
          <w:ilvl w:val="0"/>
          <w:numId w:val="18"/>
        </w:numPr>
        <w:rPr>
          <w:sz w:val="22"/>
          <w:szCs w:val="22"/>
        </w:rPr>
      </w:pPr>
      <w:r w:rsidRPr="00493DF3">
        <w:rPr>
          <w:sz w:val="22"/>
          <w:szCs w:val="22"/>
        </w:rPr>
        <w:t xml:space="preserve">Displays fixed </w:t>
      </w:r>
      <w:r w:rsidR="00733BF8" w:rsidRPr="00493DF3">
        <w:rPr>
          <w:sz w:val="22"/>
          <w:szCs w:val="22"/>
        </w:rPr>
        <w:t xml:space="preserve">physical conracts (Cargo, VC In, TC In, TC Out, and Head Fixtures) as if they are still in exposure. This </w:t>
      </w:r>
      <w:r w:rsidR="00C74C39" w:rsidRPr="00493DF3">
        <w:rPr>
          <w:sz w:val="22"/>
          <w:szCs w:val="22"/>
        </w:rPr>
        <w:t>is added to support some specific scenarios to use the Trading P&amp;L in forecasting and budgeting.</w:t>
      </w:r>
    </w:p>
    <w:p w14:paraId="7921661F" w14:textId="77777777" w:rsidR="009368EE" w:rsidRPr="006C5C45" w:rsidRDefault="009368EE" w:rsidP="009368EE">
      <w:pPr>
        <w:ind w:left="720"/>
      </w:pPr>
    </w:p>
    <w:p w14:paraId="5A727990" w14:textId="0F078B67" w:rsidR="004B3C10" w:rsidRPr="006E5224" w:rsidRDefault="004B3C10" w:rsidP="003D3A69">
      <w:pPr>
        <w:pStyle w:val="ListParagraph"/>
        <w:numPr>
          <w:ilvl w:val="0"/>
          <w:numId w:val="21"/>
        </w:numPr>
        <w:ind w:left="720"/>
        <w:rPr>
          <w:color w:val="4472C4" w:themeColor="accent1"/>
        </w:rPr>
      </w:pPr>
      <w:r w:rsidRPr="006E5224">
        <w:rPr>
          <w:color w:val="4472C4" w:themeColor="accent1"/>
        </w:rPr>
        <w:t>Long Trade in Exposure Until Matching Short Realized</w:t>
      </w:r>
    </w:p>
    <w:p w14:paraId="2D975084" w14:textId="3B0EFBCC" w:rsidR="004B3C10" w:rsidRPr="00493DF3" w:rsidRDefault="009368EE" w:rsidP="006C5C45">
      <w:pPr>
        <w:pStyle w:val="ListParagraph"/>
        <w:numPr>
          <w:ilvl w:val="0"/>
          <w:numId w:val="18"/>
        </w:numPr>
        <w:rPr>
          <w:sz w:val="22"/>
          <w:szCs w:val="22"/>
        </w:rPr>
      </w:pPr>
      <w:r w:rsidRPr="00493DF3">
        <w:rPr>
          <w:sz w:val="22"/>
          <w:szCs w:val="22"/>
        </w:rPr>
        <w:t>TCIs that are part of a TCTO voyage remain in exposure until the corresponding TCO is realized</w:t>
      </w:r>
      <w:r w:rsidR="003950F4" w:rsidRPr="00493DF3">
        <w:rPr>
          <w:sz w:val="22"/>
          <w:szCs w:val="22"/>
        </w:rPr>
        <w:t>. TCIs that are part of a TCOV voyage</w:t>
      </w:r>
      <w:r w:rsidR="00332061" w:rsidRPr="00493DF3">
        <w:rPr>
          <w:sz w:val="22"/>
          <w:szCs w:val="22"/>
        </w:rPr>
        <w:t xml:space="preserve"> remain in exposure until the cargo on the voyage has been realized, and VC Ins that are part of a RELT voyage remain in exposure until all cargoes have been realized.</w:t>
      </w:r>
    </w:p>
    <w:p w14:paraId="31E088EE" w14:textId="2D58D829" w:rsidR="003F7E57" w:rsidRPr="00493DF3" w:rsidRDefault="003F7E57" w:rsidP="006C5C45">
      <w:pPr>
        <w:pStyle w:val="ListParagraph"/>
        <w:numPr>
          <w:ilvl w:val="0"/>
          <w:numId w:val="18"/>
        </w:numPr>
        <w:rPr>
          <w:sz w:val="22"/>
          <w:szCs w:val="22"/>
        </w:rPr>
      </w:pPr>
      <w:r w:rsidRPr="00493DF3">
        <w:rPr>
          <w:sz w:val="22"/>
          <w:szCs w:val="22"/>
        </w:rPr>
        <w:t xml:space="preserve">Currently, </w:t>
      </w:r>
      <w:r w:rsidR="009D1EA8" w:rsidRPr="00493DF3">
        <w:rPr>
          <w:sz w:val="22"/>
          <w:szCs w:val="22"/>
        </w:rPr>
        <w:t>when</w:t>
      </w:r>
      <w:r w:rsidRPr="00493DF3">
        <w:rPr>
          <w:sz w:val="22"/>
          <w:szCs w:val="22"/>
        </w:rPr>
        <w:t xml:space="preserve"> you schedule a car</w:t>
      </w:r>
      <w:r w:rsidR="00BB0648" w:rsidRPr="00493DF3">
        <w:rPr>
          <w:sz w:val="22"/>
          <w:szCs w:val="22"/>
        </w:rPr>
        <w:t xml:space="preserve">go onto a vessel, the </w:t>
      </w:r>
      <w:r w:rsidR="005646F2" w:rsidRPr="00493DF3">
        <w:rPr>
          <w:sz w:val="22"/>
          <w:szCs w:val="22"/>
        </w:rPr>
        <w:t>vessel will be removed from exposure and the cargo will remain in exposure</w:t>
      </w:r>
      <w:r w:rsidR="00662CC0" w:rsidRPr="00493DF3">
        <w:rPr>
          <w:sz w:val="22"/>
          <w:szCs w:val="22"/>
        </w:rPr>
        <w:t xml:space="preserve"> until</w:t>
      </w:r>
      <w:r w:rsidR="005646F2" w:rsidRPr="00493DF3">
        <w:rPr>
          <w:sz w:val="22"/>
          <w:szCs w:val="22"/>
        </w:rPr>
        <w:t xml:space="preserve"> </w:t>
      </w:r>
      <w:r w:rsidR="00662CC0" w:rsidRPr="00493DF3">
        <w:rPr>
          <w:sz w:val="22"/>
          <w:szCs w:val="22"/>
        </w:rPr>
        <w:t>the voyage completes</w:t>
      </w:r>
      <w:r w:rsidR="005646F2" w:rsidRPr="00493DF3">
        <w:rPr>
          <w:sz w:val="22"/>
          <w:szCs w:val="22"/>
        </w:rPr>
        <w:t xml:space="preserve">. This will </w:t>
      </w:r>
      <w:r w:rsidR="00BD1F7C" w:rsidRPr="00493DF3">
        <w:rPr>
          <w:sz w:val="22"/>
          <w:szCs w:val="22"/>
        </w:rPr>
        <w:t xml:space="preserve">allow you to keep the vessel in exposure until the cargo </w:t>
      </w:r>
      <w:r w:rsidR="005C38BD" w:rsidRPr="00493DF3">
        <w:rPr>
          <w:sz w:val="22"/>
          <w:szCs w:val="22"/>
        </w:rPr>
        <w:t>is realized.</w:t>
      </w:r>
    </w:p>
    <w:p w14:paraId="20583D87" w14:textId="77777777" w:rsidR="00332061" w:rsidRPr="006C5C45" w:rsidRDefault="00332061" w:rsidP="00332061">
      <w:pPr>
        <w:pStyle w:val="ListParagraph"/>
        <w:ind w:left="1080"/>
      </w:pPr>
    </w:p>
    <w:p w14:paraId="7AC4A439" w14:textId="2F70EFE5" w:rsidR="004B3C10" w:rsidRPr="006E5224" w:rsidRDefault="004B3C10" w:rsidP="003D3A69">
      <w:pPr>
        <w:pStyle w:val="ListParagraph"/>
        <w:numPr>
          <w:ilvl w:val="0"/>
          <w:numId w:val="21"/>
        </w:numPr>
        <w:ind w:left="720"/>
        <w:rPr>
          <w:color w:val="4472C4" w:themeColor="accent1"/>
        </w:rPr>
      </w:pPr>
      <w:r w:rsidRPr="006E5224">
        <w:rPr>
          <w:color w:val="4472C4" w:themeColor="accent1"/>
        </w:rPr>
        <w:t>Keep Cargo/VC In Marked to Market until Realized</w:t>
      </w:r>
    </w:p>
    <w:p w14:paraId="704CD70C" w14:textId="4EDD6A9B" w:rsidR="004B3C10" w:rsidRPr="0052335E" w:rsidRDefault="004A52ED" w:rsidP="004A52ED">
      <w:pPr>
        <w:pStyle w:val="ListParagraph"/>
        <w:numPr>
          <w:ilvl w:val="0"/>
          <w:numId w:val="18"/>
        </w:numPr>
        <w:rPr>
          <w:sz w:val="22"/>
          <w:szCs w:val="22"/>
        </w:rPr>
      </w:pPr>
      <w:r w:rsidRPr="0052335E">
        <w:rPr>
          <w:sz w:val="22"/>
          <w:szCs w:val="22"/>
        </w:rPr>
        <w:t>Cargo/VC In stays</w:t>
      </w:r>
      <w:r w:rsidR="0052335E" w:rsidRPr="0052335E">
        <w:rPr>
          <w:sz w:val="22"/>
          <w:szCs w:val="22"/>
        </w:rPr>
        <w:t xml:space="preserve"> M2M until fully realized (based on the Cargo P&amp;L realization rule in the Profile Settings).</w:t>
      </w:r>
    </w:p>
    <w:p w14:paraId="7FA5C613" w14:textId="77777777" w:rsidR="005C083F" w:rsidRPr="006C5C45" w:rsidRDefault="005C083F" w:rsidP="00B641FA"/>
    <w:p w14:paraId="6F22B05B" w14:textId="768F3830" w:rsidR="004B3C10" w:rsidRPr="006E5224" w:rsidRDefault="004B3C10" w:rsidP="003D3A69">
      <w:pPr>
        <w:pStyle w:val="ListParagraph"/>
        <w:numPr>
          <w:ilvl w:val="0"/>
          <w:numId w:val="21"/>
        </w:numPr>
        <w:ind w:left="720"/>
        <w:rPr>
          <w:color w:val="4472C4" w:themeColor="accent1"/>
        </w:rPr>
      </w:pPr>
      <w:r w:rsidRPr="006E5224">
        <w:rPr>
          <w:color w:val="4472C4" w:themeColor="accent1"/>
        </w:rPr>
        <w:t>Use Laycan On Targeted</w:t>
      </w:r>
      <w:r w:rsidR="000B5560" w:rsidRPr="006E5224">
        <w:rPr>
          <w:color w:val="4472C4" w:themeColor="accent1"/>
        </w:rPr>
        <w:t xml:space="preserve"> COA</w:t>
      </w:r>
    </w:p>
    <w:p w14:paraId="14B10107" w14:textId="41D613AE" w:rsidR="000B5560" w:rsidRPr="00493DF3" w:rsidRDefault="00F5535F" w:rsidP="006C5C45">
      <w:pPr>
        <w:pStyle w:val="ListParagraph"/>
        <w:numPr>
          <w:ilvl w:val="0"/>
          <w:numId w:val="18"/>
        </w:numPr>
        <w:rPr>
          <w:sz w:val="22"/>
          <w:szCs w:val="22"/>
        </w:rPr>
      </w:pPr>
      <w:r w:rsidRPr="00493DF3">
        <w:rPr>
          <w:sz w:val="22"/>
          <w:szCs w:val="22"/>
        </w:rPr>
        <w:t>If you have a COA the liftings under that COA</w:t>
      </w:r>
      <w:r w:rsidR="000316C8" w:rsidRPr="00493DF3">
        <w:rPr>
          <w:sz w:val="22"/>
          <w:szCs w:val="22"/>
        </w:rPr>
        <w:t xml:space="preserve"> are always going to have exposure based on their specific laycan dates rather than prorated across</w:t>
      </w:r>
      <w:r w:rsidR="00283F7D" w:rsidRPr="00493DF3">
        <w:rPr>
          <w:sz w:val="22"/>
          <w:szCs w:val="22"/>
        </w:rPr>
        <w:t xml:space="preserve"> the COA contract. </w:t>
      </w:r>
    </w:p>
    <w:p w14:paraId="289223A4" w14:textId="77777777" w:rsidR="00A40726" w:rsidRPr="00493DF3" w:rsidRDefault="00283F7D" w:rsidP="006C5C45">
      <w:pPr>
        <w:pStyle w:val="ListParagraph"/>
        <w:numPr>
          <w:ilvl w:val="0"/>
          <w:numId w:val="18"/>
        </w:numPr>
        <w:rPr>
          <w:sz w:val="22"/>
          <w:szCs w:val="22"/>
        </w:rPr>
      </w:pPr>
      <w:r w:rsidRPr="00493DF3">
        <w:rPr>
          <w:sz w:val="22"/>
          <w:szCs w:val="22"/>
        </w:rPr>
        <w:t>Exposes targeted COA liftings in the month of their Laycan From dates, instead of prorating the exposure of those liftings across the full timeline of the</w:t>
      </w:r>
      <w:r w:rsidR="00A40726" w:rsidRPr="00493DF3">
        <w:rPr>
          <w:sz w:val="22"/>
          <w:szCs w:val="22"/>
        </w:rPr>
        <w:t xml:space="preserve"> contract. If the Exposure Basis Month field is in use, that month will be used instead.</w:t>
      </w:r>
    </w:p>
    <w:p w14:paraId="6358CFA4" w14:textId="77777777" w:rsidR="004C2B84" w:rsidRDefault="004C2B84" w:rsidP="00A40726"/>
    <w:p w14:paraId="7803A63B" w14:textId="77777777" w:rsidR="004C2B84" w:rsidRDefault="004C2B84" w:rsidP="00A40726"/>
    <w:p w14:paraId="748F655F" w14:textId="77777777" w:rsidR="004C2B84" w:rsidRDefault="004C2B84" w:rsidP="00A40726"/>
    <w:p w14:paraId="08474F41" w14:textId="77777777" w:rsidR="002C2F6D" w:rsidRDefault="002C2F6D" w:rsidP="00A40726"/>
    <w:p w14:paraId="003CCB6D" w14:textId="77777777" w:rsidR="00F501EA" w:rsidRPr="006C5C45" w:rsidRDefault="00F501EA" w:rsidP="00A40726"/>
    <w:p w14:paraId="255D1054" w14:textId="66C6B67A" w:rsidR="000B5560" w:rsidRPr="006E5224" w:rsidRDefault="000B5560" w:rsidP="003D3A69">
      <w:pPr>
        <w:pStyle w:val="ListParagraph"/>
        <w:numPr>
          <w:ilvl w:val="0"/>
          <w:numId w:val="21"/>
        </w:numPr>
        <w:ind w:left="720"/>
        <w:rPr>
          <w:color w:val="4472C4" w:themeColor="accent1"/>
        </w:rPr>
      </w:pPr>
      <w:r w:rsidRPr="006E5224">
        <w:rPr>
          <w:color w:val="4472C4" w:themeColor="accent1"/>
        </w:rPr>
        <w:t>No Bunker Exposure If BAF Exists</w:t>
      </w:r>
    </w:p>
    <w:p w14:paraId="770E31A9" w14:textId="10033A7C" w:rsidR="000B5560" w:rsidRPr="00493DF3" w:rsidRDefault="006531F9" w:rsidP="006C5C45">
      <w:pPr>
        <w:pStyle w:val="ListParagraph"/>
        <w:numPr>
          <w:ilvl w:val="0"/>
          <w:numId w:val="18"/>
        </w:numPr>
        <w:rPr>
          <w:sz w:val="22"/>
          <w:szCs w:val="22"/>
        </w:rPr>
      </w:pPr>
      <w:r w:rsidRPr="00493DF3">
        <w:rPr>
          <w:sz w:val="22"/>
          <w:szCs w:val="22"/>
        </w:rPr>
        <w:t>Removes any trade with an Unpriced Component Bunker Adjustment Factor</w:t>
      </w:r>
      <w:r w:rsidR="00127870" w:rsidRPr="00493DF3">
        <w:rPr>
          <w:sz w:val="22"/>
          <w:szCs w:val="22"/>
        </w:rPr>
        <w:t xml:space="preserve"> from bunker exposure.</w:t>
      </w:r>
    </w:p>
    <w:p w14:paraId="576B6E1E" w14:textId="16888591" w:rsidR="00127870" w:rsidRPr="00493DF3" w:rsidRDefault="00127870" w:rsidP="006C5C45">
      <w:pPr>
        <w:pStyle w:val="ListParagraph"/>
        <w:numPr>
          <w:ilvl w:val="0"/>
          <w:numId w:val="18"/>
        </w:numPr>
        <w:rPr>
          <w:sz w:val="22"/>
          <w:szCs w:val="22"/>
        </w:rPr>
      </w:pPr>
      <w:r w:rsidRPr="00493DF3">
        <w:rPr>
          <w:sz w:val="22"/>
          <w:szCs w:val="22"/>
        </w:rPr>
        <w:t>The logic is that a BAF acts as</w:t>
      </w:r>
      <w:r w:rsidR="0064346E" w:rsidRPr="00493DF3">
        <w:rPr>
          <w:sz w:val="22"/>
          <w:szCs w:val="22"/>
        </w:rPr>
        <w:t xml:space="preserve"> </w:t>
      </w:r>
      <w:r w:rsidR="001D1F2A" w:rsidRPr="00493DF3">
        <w:rPr>
          <w:sz w:val="22"/>
          <w:szCs w:val="22"/>
        </w:rPr>
        <w:t>a</w:t>
      </w:r>
      <w:r w:rsidR="00123C9B" w:rsidRPr="00493DF3">
        <w:rPr>
          <w:sz w:val="22"/>
          <w:szCs w:val="22"/>
        </w:rPr>
        <w:t>n Owner’s</w:t>
      </w:r>
      <w:r w:rsidR="0064346E" w:rsidRPr="00493DF3">
        <w:rPr>
          <w:sz w:val="22"/>
          <w:szCs w:val="22"/>
        </w:rPr>
        <w:t xml:space="preserve"> hedge against market fluctuations. </w:t>
      </w:r>
    </w:p>
    <w:p w14:paraId="60B04653" w14:textId="7DCCFDF1" w:rsidR="00997D45" w:rsidRPr="00493DF3" w:rsidRDefault="00123C9B" w:rsidP="006C5C45">
      <w:pPr>
        <w:pStyle w:val="ListParagraph"/>
        <w:numPr>
          <w:ilvl w:val="0"/>
          <w:numId w:val="18"/>
        </w:numPr>
        <w:rPr>
          <w:sz w:val="22"/>
          <w:szCs w:val="22"/>
        </w:rPr>
      </w:pPr>
      <w:r w:rsidRPr="00493DF3">
        <w:rPr>
          <w:sz w:val="22"/>
          <w:szCs w:val="22"/>
        </w:rPr>
        <w:t>As a Charterer</w:t>
      </w:r>
      <w:r w:rsidR="005300AB" w:rsidRPr="00493DF3">
        <w:rPr>
          <w:sz w:val="22"/>
          <w:szCs w:val="22"/>
        </w:rPr>
        <w:t xml:space="preserve">, you </w:t>
      </w:r>
      <w:r w:rsidR="00F3496A" w:rsidRPr="00493DF3">
        <w:rPr>
          <w:sz w:val="22"/>
          <w:szCs w:val="22"/>
        </w:rPr>
        <w:t xml:space="preserve">may have </w:t>
      </w:r>
      <w:r w:rsidR="00795363" w:rsidRPr="00493DF3">
        <w:rPr>
          <w:sz w:val="22"/>
          <w:szCs w:val="22"/>
        </w:rPr>
        <w:t xml:space="preserve">bunker </w:t>
      </w:r>
      <w:r w:rsidR="00F3496A" w:rsidRPr="00493DF3">
        <w:rPr>
          <w:sz w:val="22"/>
          <w:szCs w:val="22"/>
        </w:rPr>
        <w:t>exposure against the BAF.</w:t>
      </w:r>
    </w:p>
    <w:p w14:paraId="65D3A1FA" w14:textId="77777777" w:rsidR="00F3496A" w:rsidRPr="006C5C45" w:rsidRDefault="00F3496A" w:rsidP="00F3496A">
      <w:pPr>
        <w:pStyle w:val="ListParagraph"/>
        <w:ind w:left="1080"/>
      </w:pPr>
    </w:p>
    <w:p w14:paraId="28CDC0B2" w14:textId="1D032B0B" w:rsidR="000B5560" w:rsidRPr="006E5224" w:rsidRDefault="000B5560" w:rsidP="003D3A69">
      <w:pPr>
        <w:pStyle w:val="ListParagraph"/>
        <w:numPr>
          <w:ilvl w:val="0"/>
          <w:numId w:val="21"/>
        </w:numPr>
        <w:ind w:left="720"/>
        <w:rPr>
          <w:color w:val="4472C4" w:themeColor="accent1"/>
        </w:rPr>
      </w:pPr>
      <w:r w:rsidRPr="006E5224">
        <w:rPr>
          <w:color w:val="4472C4" w:themeColor="accent1"/>
        </w:rPr>
        <w:t>Keep TCTO In Exposure When One Contract Is Index-Linked</w:t>
      </w:r>
      <w:r w:rsidR="004136B0">
        <w:rPr>
          <w:color w:val="4472C4" w:themeColor="accent1"/>
        </w:rPr>
        <w:t xml:space="preserve"> </w:t>
      </w:r>
    </w:p>
    <w:p w14:paraId="29136F3C" w14:textId="164B7167" w:rsidR="000B5560" w:rsidRPr="00493DF3" w:rsidRDefault="00795363" w:rsidP="006C5C45">
      <w:pPr>
        <w:pStyle w:val="ListParagraph"/>
        <w:numPr>
          <w:ilvl w:val="0"/>
          <w:numId w:val="18"/>
        </w:numPr>
        <w:rPr>
          <w:sz w:val="22"/>
          <w:szCs w:val="22"/>
        </w:rPr>
      </w:pPr>
      <w:r w:rsidRPr="00493DF3">
        <w:rPr>
          <w:sz w:val="22"/>
          <w:szCs w:val="22"/>
        </w:rPr>
        <w:t>When selected, and there is a commenced TCTO voyage</w:t>
      </w:r>
      <w:r w:rsidR="00B9129F" w:rsidRPr="00493DF3">
        <w:rPr>
          <w:sz w:val="22"/>
          <w:szCs w:val="22"/>
        </w:rPr>
        <w:t>, then Exposure Days and Exposure Tons will reflect the remaining days in the voyage.</w:t>
      </w:r>
    </w:p>
    <w:p w14:paraId="255B4783" w14:textId="49EB303F" w:rsidR="00B9129F" w:rsidRPr="00493DF3" w:rsidRDefault="00060BF4" w:rsidP="006C5C45">
      <w:pPr>
        <w:pStyle w:val="ListParagraph"/>
        <w:numPr>
          <w:ilvl w:val="0"/>
          <w:numId w:val="18"/>
        </w:numPr>
        <w:rPr>
          <w:sz w:val="22"/>
          <w:szCs w:val="22"/>
        </w:rPr>
      </w:pPr>
      <w:r w:rsidRPr="00493DF3">
        <w:rPr>
          <w:sz w:val="22"/>
          <w:szCs w:val="22"/>
        </w:rPr>
        <w:t>For a TCTO voyage with an index-linked TCI and a fixed-priced</w:t>
      </w:r>
      <w:r w:rsidR="00730277" w:rsidRPr="00493DF3">
        <w:rPr>
          <w:sz w:val="22"/>
          <w:szCs w:val="22"/>
        </w:rPr>
        <w:t xml:space="preserve"> TCO, select to keep the TCO in exposure (or, with an index-linked TCO and a fixed price TCI, to keep the TCI in exposure).</w:t>
      </w:r>
    </w:p>
    <w:p w14:paraId="3C1FD136" w14:textId="77777777" w:rsidR="00730277" w:rsidRPr="006C5C45" w:rsidRDefault="00730277" w:rsidP="004E2452">
      <w:pPr>
        <w:pStyle w:val="ListParagraph"/>
        <w:ind w:left="1080"/>
      </w:pPr>
    </w:p>
    <w:p w14:paraId="15C1341A" w14:textId="37EBF0AF" w:rsidR="000B5560" w:rsidRDefault="000B5560" w:rsidP="003D3A69">
      <w:pPr>
        <w:pStyle w:val="ListParagraph"/>
        <w:numPr>
          <w:ilvl w:val="0"/>
          <w:numId w:val="21"/>
        </w:numPr>
        <w:ind w:left="720"/>
        <w:rPr>
          <w:color w:val="4472C4" w:themeColor="accent1"/>
        </w:rPr>
      </w:pPr>
      <w:r w:rsidRPr="006E5224">
        <w:rPr>
          <w:color w:val="4472C4" w:themeColor="accent1"/>
        </w:rPr>
        <w:t>TCO Bunkers For Operator’s Account Is Exposure</w:t>
      </w:r>
      <w:r w:rsidR="004136B0">
        <w:rPr>
          <w:color w:val="4472C4" w:themeColor="accent1"/>
        </w:rPr>
        <w:t xml:space="preserve"> </w:t>
      </w:r>
    </w:p>
    <w:p w14:paraId="1D280E68" w14:textId="42EF4F90" w:rsidR="00D14631" w:rsidRPr="00D14631" w:rsidRDefault="00D14631" w:rsidP="00D14631">
      <w:pPr>
        <w:pStyle w:val="ListParagraph"/>
        <w:numPr>
          <w:ilvl w:val="0"/>
          <w:numId w:val="18"/>
        </w:numPr>
        <w:rPr>
          <w:color w:val="4472C4" w:themeColor="accent1"/>
          <w:sz w:val="22"/>
          <w:szCs w:val="22"/>
        </w:rPr>
      </w:pPr>
      <w:r w:rsidRPr="00D14631">
        <w:rPr>
          <w:color w:val="091E42"/>
          <w:sz w:val="22"/>
          <w:szCs w:val="22"/>
          <w:shd w:val="clear" w:color="auto" w:fill="FFFFFF"/>
        </w:rPr>
        <w:t>Bunkers that are in the "Paid by Operator" category on TCO contracts are added into the Bunker exposure for the TCO contract</w:t>
      </w:r>
    </w:p>
    <w:p w14:paraId="32740240" w14:textId="77777777" w:rsidR="003B73C5" w:rsidRPr="008320CC" w:rsidRDefault="003B73C5" w:rsidP="000616A6">
      <w:pPr>
        <w:pStyle w:val="ListParagraph"/>
        <w:ind w:left="1080"/>
      </w:pPr>
    </w:p>
    <w:p w14:paraId="2101921C" w14:textId="55CABB3B" w:rsidR="0004275F" w:rsidRPr="0004275F" w:rsidRDefault="000B5560" w:rsidP="0004275F">
      <w:pPr>
        <w:pStyle w:val="ListParagraph"/>
        <w:numPr>
          <w:ilvl w:val="0"/>
          <w:numId w:val="21"/>
        </w:numPr>
        <w:ind w:left="720"/>
        <w:rPr>
          <w:color w:val="4472C4" w:themeColor="accent1"/>
        </w:rPr>
      </w:pPr>
      <w:r w:rsidRPr="006E5224">
        <w:rPr>
          <w:color w:val="4472C4" w:themeColor="accent1"/>
        </w:rPr>
        <w:t>Show Cargo/VC In Weighted Days As Voyage Days</w:t>
      </w:r>
    </w:p>
    <w:p w14:paraId="0F2F63F8" w14:textId="7D87D748" w:rsidR="003B73C5" w:rsidRPr="00493DF3" w:rsidRDefault="003B73C5" w:rsidP="0004275F">
      <w:pPr>
        <w:pStyle w:val="ListParagraph"/>
        <w:numPr>
          <w:ilvl w:val="0"/>
          <w:numId w:val="18"/>
        </w:numPr>
        <w:shd w:val="clear" w:color="auto" w:fill="FFFFFF"/>
        <w:jc w:val="left"/>
        <w:rPr>
          <w:color w:val="000000" w:themeColor="text1"/>
          <w:spacing w:val="-1"/>
          <w:sz w:val="22"/>
          <w:szCs w:val="22"/>
        </w:rPr>
      </w:pPr>
      <w:r w:rsidRPr="00493DF3">
        <w:rPr>
          <w:color w:val="000000" w:themeColor="text1"/>
          <w:spacing w:val="-1"/>
          <w:sz w:val="22"/>
          <w:szCs w:val="22"/>
        </w:rPr>
        <w:t xml:space="preserve">For cargo </w:t>
      </w:r>
      <w:r w:rsidRPr="00493DF3">
        <w:rPr>
          <w:color w:val="000000" w:themeColor="text1"/>
          <w:spacing w:val="-1"/>
          <w:sz w:val="22"/>
          <w:szCs w:val="22"/>
          <w:u w:val="single"/>
        </w:rPr>
        <w:t>contracts that utilize the Benchmark Estimate exposure method</w:t>
      </w:r>
      <w:r w:rsidRPr="00493DF3">
        <w:rPr>
          <w:color w:val="000000" w:themeColor="text1"/>
          <w:spacing w:val="-1"/>
          <w:sz w:val="22"/>
          <w:szCs w:val="22"/>
        </w:rPr>
        <w:t xml:space="preserve"> and are scheduled onto a voyage, the Weighted Days column will reflect the voyage days from the associated voyage instead of the Weighted Days.</w:t>
      </w:r>
    </w:p>
    <w:p w14:paraId="3A9A2917" w14:textId="77777777" w:rsidR="00920BF0" w:rsidRPr="00493DF3" w:rsidRDefault="003B73C5" w:rsidP="0004275F">
      <w:pPr>
        <w:pStyle w:val="ListParagraph"/>
        <w:numPr>
          <w:ilvl w:val="0"/>
          <w:numId w:val="18"/>
        </w:numPr>
        <w:shd w:val="clear" w:color="auto" w:fill="FFFFFF"/>
        <w:jc w:val="left"/>
        <w:rPr>
          <w:color w:val="000000" w:themeColor="text1"/>
          <w:spacing w:val="-1"/>
          <w:sz w:val="22"/>
          <w:szCs w:val="22"/>
        </w:rPr>
      </w:pPr>
      <w:r w:rsidRPr="00493DF3">
        <w:rPr>
          <w:color w:val="000000" w:themeColor="text1"/>
          <w:spacing w:val="-1"/>
          <w:sz w:val="22"/>
          <w:szCs w:val="22"/>
        </w:rPr>
        <w:t xml:space="preserve">When there are multiple contracts scheduled on one voyage, the Weighted Days column for each contract will display the Total Voyage Days / Number of Cargoes on the voyage. </w:t>
      </w:r>
    </w:p>
    <w:p w14:paraId="281ACE47" w14:textId="2EACEA02" w:rsidR="003B73C5" w:rsidRPr="00493DF3" w:rsidRDefault="003B73C5" w:rsidP="0004275F">
      <w:pPr>
        <w:pStyle w:val="ListParagraph"/>
        <w:numPr>
          <w:ilvl w:val="0"/>
          <w:numId w:val="18"/>
        </w:numPr>
        <w:shd w:val="clear" w:color="auto" w:fill="FFFFFF"/>
        <w:jc w:val="left"/>
        <w:rPr>
          <w:color w:val="000000" w:themeColor="text1"/>
          <w:spacing w:val="-1"/>
          <w:sz w:val="22"/>
          <w:szCs w:val="22"/>
        </w:rPr>
      </w:pPr>
      <w:r w:rsidRPr="00493DF3">
        <w:rPr>
          <w:color w:val="000000" w:themeColor="text1"/>
          <w:spacing w:val="-1"/>
          <w:sz w:val="22"/>
          <w:szCs w:val="22"/>
        </w:rPr>
        <w:t>For example, if there are 3 cargoes on a 21 day voyage each cargo will show 7 days in the Weighted Days field.</w:t>
      </w:r>
    </w:p>
    <w:p w14:paraId="7BB7D465" w14:textId="3CB8CDB5" w:rsidR="005C083F" w:rsidRPr="00B641FA" w:rsidRDefault="003B73C5" w:rsidP="008C0AF1">
      <w:pPr>
        <w:pStyle w:val="ListParagraph"/>
        <w:numPr>
          <w:ilvl w:val="0"/>
          <w:numId w:val="18"/>
        </w:numPr>
        <w:shd w:val="clear" w:color="auto" w:fill="FFFFFF"/>
        <w:jc w:val="left"/>
        <w:rPr>
          <w:color w:val="000000" w:themeColor="text1"/>
          <w:spacing w:val="-1"/>
          <w:sz w:val="22"/>
          <w:szCs w:val="22"/>
        </w:rPr>
      </w:pPr>
      <w:r w:rsidRPr="00493DF3">
        <w:rPr>
          <w:color w:val="000000" w:themeColor="text1"/>
          <w:spacing w:val="-1"/>
          <w:sz w:val="22"/>
          <w:szCs w:val="22"/>
        </w:rPr>
        <w:t>Start date reflects the Commencement Date of the voyage instead of the Cargo Laycan.</w:t>
      </w:r>
    </w:p>
    <w:p w14:paraId="2A161361" w14:textId="77777777" w:rsidR="005C083F" w:rsidRPr="008C0AF1" w:rsidRDefault="005C083F" w:rsidP="008C0AF1">
      <w:pPr>
        <w:shd w:val="clear" w:color="auto" w:fill="FFFFFF"/>
        <w:jc w:val="left"/>
        <w:rPr>
          <w:color w:val="000000" w:themeColor="text1"/>
          <w:spacing w:val="-1"/>
        </w:rPr>
      </w:pPr>
    </w:p>
    <w:p w14:paraId="4B1830D8" w14:textId="1FC24B78" w:rsidR="000843A1" w:rsidRPr="00F501EA" w:rsidRDefault="000843A1" w:rsidP="000843A1">
      <w:pPr>
        <w:pStyle w:val="ListParagraph"/>
        <w:numPr>
          <w:ilvl w:val="0"/>
          <w:numId w:val="21"/>
        </w:numPr>
        <w:ind w:left="720"/>
        <w:rPr>
          <w:color w:val="4472C4" w:themeColor="accent1"/>
        </w:rPr>
      </w:pPr>
      <w:r w:rsidRPr="00F501EA">
        <w:rPr>
          <w:color w:val="4472C4" w:themeColor="accent1"/>
        </w:rPr>
        <w:t>Apply Market Value Concept</w:t>
      </w:r>
    </w:p>
    <w:p w14:paraId="22CFA113" w14:textId="30833E8F" w:rsidR="0068606A" w:rsidRDefault="0068606A" w:rsidP="000843A1">
      <w:pPr>
        <w:pStyle w:val="ListParagraph"/>
        <w:numPr>
          <w:ilvl w:val="0"/>
          <w:numId w:val="18"/>
        </w:numPr>
        <w:rPr>
          <w:sz w:val="22"/>
          <w:szCs w:val="22"/>
        </w:rPr>
      </w:pPr>
      <w:r>
        <w:rPr>
          <w:sz w:val="22"/>
          <w:szCs w:val="22"/>
        </w:rPr>
        <w:t>Limited to the Trade Details List only</w:t>
      </w:r>
      <w:r w:rsidR="004F65FC">
        <w:rPr>
          <w:sz w:val="22"/>
          <w:szCs w:val="22"/>
        </w:rPr>
        <w:t xml:space="preserve">: </w:t>
      </w:r>
      <w:r w:rsidR="004F65FC" w:rsidRPr="004F65FC">
        <w:rPr>
          <w:color w:val="172B4D"/>
          <w:spacing w:val="-1"/>
          <w:sz w:val="22"/>
          <w:szCs w:val="22"/>
          <w:shd w:val="clear" w:color="auto" w:fill="FFFFFF"/>
        </w:rPr>
        <w:t>TCI becomes Short and TCO becomes long for the periods where Market Value Concept is applied</w:t>
      </w:r>
    </w:p>
    <w:p w14:paraId="7B8FDEDD" w14:textId="16930FBE" w:rsidR="000843A1" w:rsidRPr="00493DF3" w:rsidRDefault="00F90BAB" w:rsidP="000843A1">
      <w:pPr>
        <w:pStyle w:val="ListParagraph"/>
        <w:numPr>
          <w:ilvl w:val="0"/>
          <w:numId w:val="18"/>
        </w:numPr>
        <w:rPr>
          <w:sz w:val="22"/>
          <w:szCs w:val="22"/>
        </w:rPr>
      </w:pPr>
      <w:r w:rsidRPr="00493DF3">
        <w:rPr>
          <w:sz w:val="22"/>
          <w:szCs w:val="22"/>
        </w:rPr>
        <w:t>Changes the exposure associated with index-linked contracts so that the contract</w:t>
      </w:r>
      <w:r w:rsidR="00890F0E" w:rsidRPr="00493DF3">
        <w:rPr>
          <w:sz w:val="22"/>
          <w:szCs w:val="22"/>
        </w:rPr>
        <w:t xml:space="preserve"> that is index-linked remains exposed against the Market Value </w:t>
      </w:r>
      <w:r w:rsidR="00CC5A7D" w:rsidRPr="00493DF3">
        <w:rPr>
          <w:sz w:val="22"/>
          <w:szCs w:val="22"/>
        </w:rPr>
        <w:t>rate captured at scheduling the voyage.</w:t>
      </w:r>
    </w:p>
    <w:p w14:paraId="4013F882" w14:textId="1E5E4CAD" w:rsidR="00CC5A7D" w:rsidRPr="007A43E4" w:rsidRDefault="007A43E4" w:rsidP="007A43E4">
      <w:pPr>
        <w:pStyle w:val="ListParagraph"/>
        <w:numPr>
          <w:ilvl w:val="0"/>
          <w:numId w:val="18"/>
        </w:numPr>
        <w:rPr>
          <w:sz w:val="22"/>
          <w:szCs w:val="22"/>
        </w:rPr>
      </w:pPr>
      <w:r w:rsidRPr="007A43E4">
        <w:rPr>
          <w:sz w:val="22"/>
          <w:szCs w:val="22"/>
        </w:rPr>
        <w:t>When an index-linked TC In contract shows as in exposure</w:t>
      </w:r>
      <w:r w:rsidR="001B632F">
        <w:rPr>
          <w:sz w:val="22"/>
          <w:szCs w:val="22"/>
        </w:rPr>
        <w:t>,</w:t>
      </w:r>
      <w:r w:rsidRPr="007A43E4">
        <w:rPr>
          <w:sz w:val="22"/>
          <w:szCs w:val="22"/>
        </w:rPr>
        <w:t xml:space="preserve"> when scheduled on a voyage</w:t>
      </w:r>
      <w:r w:rsidR="001B632F">
        <w:rPr>
          <w:sz w:val="22"/>
          <w:szCs w:val="22"/>
        </w:rPr>
        <w:t>,</w:t>
      </w:r>
      <w:r w:rsidRPr="007A43E4">
        <w:rPr>
          <w:sz w:val="22"/>
          <w:szCs w:val="22"/>
        </w:rPr>
        <w:t xml:space="preserve"> with the "Apply Market Value Concept" Trading Profile flag enabled, the TC In contract will have a Short/Long value of "Short" and will be included in the Short grouping when the "Short/Long" grouping is applied in the Trading P&amp;L Summary</w:t>
      </w:r>
    </w:p>
    <w:p w14:paraId="5DD1B238" w14:textId="4830EB86" w:rsidR="000B5560" w:rsidRDefault="000B5560" w:rsidP="003F09C6">
      <w:pPr>
        <w:pStyle w:val="ListParagraph"/>
        <w:ind w:left="1080"/>
      </w:pPr>
    </w:p>
    <w:p w14:paraId="4D42FE2E" w14:textId="77777777" w:rsidR="00F501EA" w:rsidRDefault="00F501EA" w:rsidP="003F09C6">
      <w:pPr>
        <w:pStyle w:val="ListParagraph"/>
        <w:ind w:left="1080"/>
      </w:pPr>
    </w:p>
    <w:p w14:paraId="49198342" w14:textId="77777777" w:rsidR="00F501EA" w:rsidRDefault="00F501EA" w:rsidP="003F09C6">
      <w:pPr>
        <w:pStyle w:val="ListParagraph"/>
        <w:ind w:left="1080"/>
      </w:pPr>
    </w:p>
    <w:p w14:paraId="32A5D32A" w14:textId="77777777" w:rsidR="00F501EA" w:rsidRPr="008320CC" w:rsidRDefault="00F501EA" w:rsidP="003F09C6">
      <w:pPr>
        <w:pStyle w:val="ListParagraph"/>
        <w:ind w:left="1080"/>
      </w:pPr>
    </w:p>
    <w:p w14:paraId="60700BDB" w14:textId="7E5DA923" w:rsidR="000B5560" w:rsidRPr="006E5224" w:rsidRDefault="000B5560" w:rsidP="003D3A69">
      <w:pPr>
        <w:pStyle w:val="ListParagraph"/>
        <w:numPr>
          <w:ilvl w:val="0"/>
          <w:numId w:val="21"/>
        </w:numPr>
        <w:ind w:left="720"/>
        <w:rPr>
          <w:color w:val="4472C4" w:themeColor="accent1"/>
        </w:rPr>
      </w:pPr>
      <w:r w:rsidRPr="006E5224">
        <w:rPr>
          <w:color w:val="4472C4" w:themeColor="accent1"/>
        </w:rPr>
        <w:t>Apply Contract Correlation To Weighted Days</w:t>
      </w:r>
    </w:p>
    <w:p w14:paraId="5D1B75DE" w14:textId="43491B29" w:rsidR="00CF1EE0" w:rsidRDefault="00BA6BEA" w:rsidP="00F501EA">
      <w:pPr>
        <w:pStyle w:val="ListParagraph"/>
        <w:numPr>
          <w:ilvl w:val="0"/>
          <w:numId w:val="18"/>
        </w:numPr>
        <w:rPr>
          <w:sz w:val="22"/>
          <w:szCs w:val="22"/>
        </w:rPr>
      </w:pPr>
      <w:r w:rsidRPr="00493DF3">
        <w:rPr>
          <w:sz w:val="22"/>
          <w:szCs w:val="22"/>
        </w:rPr>
        <w:t>Applies weighted days</w:t>
      </w:r>
      <w:r w:rsidR="0020048F" w:rsidRPr="00493DF3">
        <w:rPr>
          <w:sz w:val="22"/>
          <w:szCs w:val="22"/>
        </w:rPr>
        <w:t>, adjusted for the correlation value, to a P&amp;L calculation.</w:t>
      </w:r>
    </w:p>
    <w:p w14:paraId="6312D411" w14:textId="77777777" w:rsidR="00F501EA" w:rsidRPr="00F501EA" w:rsidRDefault="00F501EA" w:rsidP="00F501EA">
      <w:pPr>
        <w:pStyle w:val="ListParagraph"/>
        <w:ind w:left="1080"/>
        <w:rPr>
          <w:sz w:val="22"/>
          <w:szCs w:val="22"/>
        </w:rPr>
      </w:pPr>
    </w:p>
    <w:p w14:paraId="759E9875" w14:textId="77777777" w:rsidR="00F501EA" w:rsidRPr="008320CC" w:rsidRDefault="00F501EA" w:rsidP="00DD05E9">
      <w:pPr>
        <w:pStyle w:val="ListParagraph"/>
        <w:ind w:left="1080"/>
      </w:pPr>
    </w:p>
    <w:p w14:paraId="10D46FE8" w14:textId="748F21B4" w:rsidR="000B5560" w:rsidRPr="006E5224" w:rsidRDefault="000B5560" w:rsidP="003D3A69">
      <w:pPr>
        <w:pStyle w:val="ListParagraph"/>
        <w:numPr>
          <w:ilvl w:val="0"/>
          <w:numId w:val="21"/>
        </w:numPr>
        <w:ind w:left="720"/>
        <w:rPr>
          <w:color w:val="4472C4" w:themeColor="accent1"/>
        </w:rPr>
      </w:pPr>
      <w:r w:rsidRPr="006E5224">
        <w:rPr>
          <w:color w:val="4472C4" w:themeColor="accent1"/>
        </w:rPr>
        <w:t>Show Only Confirmed Paper Trades</w:t>
      </w:r>
    </w:p>
    <w:p w14:paraId="4873C46B" w14:textId="5D25DBA4" w:rsidR="00D27853" w:rsidRDefault="00DD05E9" w:rsidP="00750260">
      <w:pPr>
        <w:pStyle w:val="ListParagraph"/>
        <w:numPr>
          <w:ilvl w:val="0"/>
          <w:numId w:val="18"/>
        </w:numPr>
        <w:rPr>
          <w:sz w:val="22"/>
          <w:szCs w:val="22"/>
        </w:rPr>
      </w:pPr>
      <w:r w:rsidRPr="00123464">
        <w:rPr>
          <w:sz w:val="22"/>
          <w:szCs w:val="22"/>
        </w:rPr>
        <w:t xml:space="preserve">Hides any paper trade with a </w:t>
      </w:r>
      <w:r w:rsidR="00E320B4" w:rsidRPr="00123464">
        <w:rPr>
          <w:sz w:val="22"/>
          <w:szCs w:val="22"/>
        </w:rPr>
        <w:t>“Pending” status from the Trade Details List and Trading P&amp;L Summary.</w:t>
      </w:r>
    </w:p>
    <w:p w14:paraId="18CA8273" w14:textId="77777777" w:rsidR="00F501EA" w:rsidRPr="00123464" w:rsidRDefault="00F501EA" w:rsidP="00F501EA">
      <w:pPr>
        <w:pStyle w:val="ListParagraph"/>
        <w:ind w:left="1080"/>
        <w:rPr>
          <w:sz w:val="22"/>
          <w:szCs w:val="22"/>
        </w:rPr>
      </w:pPr>
    </w:p>
    <w:p w14:paraId="2914C325" w14:textId="77777777" w:rsidR="00123464" w:rsidRPr="008320CC" w:rsidRDefault="00123464" w:rsidP="00E320B4">
      <w:pPr>
        <w:pStyle w:val="ListParagraph"/>
        <w:ind w:left="1080"/>
      </w:pPr>
    </w:p>
    <w:p w14:paraId="20A7EED9" w14:textId="6F801C50" w:rsidR="000B5560" w:rsidRPr="006E5224" w:rsidRDefault="000B5560" w:rsidP="003D3A69">
      <w:pPr>
        <w:pStyle w:val="ListParagraph"/>
        <w:numPr>
          <w:ilvl w:val="0"/>
          <w:numId w:val="21"/>
        </w:numPr>
        <w:ind w:left="720"/>
        <w:rPr>
          <w:color w:val="4472C4" w:themeColor="accent1"/>
        </w:rPr>
      </w:pPr>
      <w:r w:rsidRPr="006E5224">
        <w:rPr>
          <w:color w:val="4472C4" w:themeColor="accent1"/>
        </w:rPr>
        <w:t>Use Est Ballast Days For Exposure Start Calc</w:t>
      </w:r>
    </w:p>
    <w:p w14:paraId="71CD13A8" w14:textId="3E2CA245" w:rsidR="000B5560" w:rsidRPr="00123464" w:rsidRDefault="0028148B" w:rsidP="008320CC">
      <w:pPr>
        <w:pStyle w:val="ListParagraph"/>
        <w:numPr>
          <w:ilvl w:val="0"/>
          <w:numId w:val="18"/>
        </w:numPr>
        <w:rPr>
          <w:sz w:val="22"/>
          <w:szCs w:val="22"/>
        </w:rPr>
      </w:pPr>
      <w:r w:rsidRPr="00123464">
        <w:rPr>
          <w:sz w:val="22"/>
          <w:szCs w:val="22"/>
        </w:rPr>
        <w:t>Adjusts the exposure of TC Out contracts to account for Ballast Days</w:t>
      </w:r>
    </w:p>
    <w:p w14:paraId="02E8CECA" w14:textId="2165A1BA" w:rsidR="005C083F" w:rsidRDefault="00FC0D57" w:rsidP="00FC0D57">
      <w:pPr>
        <w:pStyle w:val="ListParagraph"/>
        <w:numPr>
          <w:ilvl w:val="0"/>
          <w:numId w:val="18"/>
        </w:numPr>
        <w:rPr>
          <w:sz w:val="22"/>
          <w:szCs w:val="22"/>
        </w:rPr>
      </w:pPr>
      <w:r w:rsidRPr="00123464">
        <w:rPr>
          <w:sz w:val="22"/>
          <w:szCs w:val="22"/>
        </w:rPr>
        <w:t>When enabled, several new fields are added to the TC Out Contract's Exposure tab to capture the Net Daily TCE, Benchmark Estimate, Ballast Bunker Exposure and Ballast Days. When populated, these fields will update the exposure of the TC Out contract to account for the Ballast Days required to get to the delivery port. The new basis value becomes the Net Daily TCE and the Ballast Bunker Exposure is displayed either in addition to the delivery exposure or separately if the ballast period is different.</w:t>
      </w:r>
    </w:p>
    <w:p w14:paraId="6083D097" w14:textId="77777777" w:rsidR="00F501EA" w:rsidRPr="00F501EA" w:rsidRDefault="00F501EA" w:rsidP="00F501EA">
      <w:pPr>
        <w:pStyle w:val="ListParagraph"/>
        <w:ind w:left="1080"/>
        <w:rPr>
          <w:sz w:val="22"/>
          <w:szCs w:val="22"/>
        </w:rPr>
      </w:pPr>
    </w:p>
    <w:p w14:paraId="7D873C1B" w14:textId="77777777" w:rsidR="005C083F" w:rsidRPr="008320CC" w:rsidRDefault="005C083F" w:rsidP="00FC0D57"/>
    <w:p w14:paraId="0F542311" w14:textId="5BDFAAA5" w:rsidR="000B5560" w:rsidRPr="006E5224" w:rsidRDefault="000B5560" w:rsidP="003D3A69">
      <w:pPr>
        <w:pStyle w:val="ListParagraph"/>
        <w:numPr>
          <w:ilvl w:val="0"/>
          <w:numId w:val="21"/>
        </w:numPr>
        <w:ind w:left="720"/>
        <w:rPr>
          <w:color w:val="4472C4" w:themeColor="accent1"/>
        </w:rPr>
      </w:pPr>
      <w:r w:rsidRPr="006E5224">
        <w:rPr>
          <w:color w:val="4472C4" w:themeColor="accent1"/>
        </w:rPr>
        <w:t>Use Min Duration On TC Contracts</w:t>
      </w:r>
    </w:p>
    <w:p w14:paraId="2908EB63" w14:textId="3C9B1A26" w:rsidR="00F3363B" w:rsidRPr="00123464" w:rsidRDefault="00F3363B" w:rsidP="00F3363B">
      <w:pPr>
        <w:pStyle w:val="ListParagraph"/>
        <w:numPr>
          <w:ilvl w:val="0"/>
          <w:numId w:val="18"/>
        </w:numPr>
        <w:spacing w:before="100" w:beforeAutospacing="1" w:after="100" w:afterAutospacing="1"/>
        <w:jc w:val="left"/>
        <w:rPr>
          <w:sz w:val="22"/>
          <w:szCs w:val="22"/>
        </w:rPr>
      </w:pPr>
      <w:r w:rsidRPr="00123464">
        <w:rPr>
          <w:sz w:val="22"/>
          <w:szCs w:val="22"/>
        </w:rPr>
        <w:t>When a TC Contract is in exposure and the duration basis is set to anything other than Min (Mid/Max/Custom/Etc) then enabling this flag will change the way that this contract is calculated. It will look at the contract as though the duration basis were still set to Min.</w:t>
      </w:r>
      <w:r w:rsidR="000D5D08" w:rsidRPr="00123464">
        <w:rPr>
          <w:sz w:val="22"/>
          <w:szCs w:val="22"/>
        </w:rPr>
        <w:t xml:space="preserve"> This way the option will still be analyzed on the contracts.</w:t>
      </w:r>
    </w:p>
    <w:p w14:paraId="022D8A73" w14:textId="1EC1F0D7" w:rsidR="005A3FA5" w:rsidRPr="00123464" w:rsidRDefault="005A3FA5" w:rsidP="005A3FA5">
      <w:pPr>
        <w:pStyle w:val="ListParagraph"/>
        <w:numPr>
          <w:ilvl w:val="0"/>
          <w:numId w:val="18"/>
        </w:numPr>
        <w:spacing w:before="100" w:beforeAutospacing="1" w:after="100" w:afterAutospacing="1"/>
        <w:jc w:val="left"/>
        <w:rPr>
          <w:sz w:val="22"/>
          <w:szCs w:val="22"/>
        </w:rPr>
      </w:pPr>
      <w:r w:rsidRPr="00123464">
        <w:rPr>
          <w:sz w:val="22"/>
          <w:szCs w:val="22"/>
        </w:rPr>
        <w:t>The idea here is two ways to be able to view the contract, one in which you view the exposure up to the duration basis setting and then also be able to view what the contract exposure would be for the declared period (duration set to min) and the optional period (min to max).</w:t>
      </w:r>
    </w:p>
    <w:p w14:paraId="56B25F96" w14:textId="6377F2BA" w:rsidR="009423C7" w:rsidRPr="00123464" w:rsidRDefault="00A5033E" w:rsidP="00C74F7F">
      <w:pPr>
        <w:pStyle w:val="ListParagraph"/>
        <w:numPr>
          <w:ilvl w:val="0"/>
          <w:numId w:val="18"/>
        </w:numPr>
        <w:rPr>
          <w:sz w:val="22"/>
          <w:szCs w:val="22"/>
        </w:rPr>
      </w:pPr>
      <w:r w:rsidRPr="00123464">
        <w:rPr>
          <w:spacing w:val="-1"/>
          <w:sz w:val="22"/>
          <w:szCs w:val="22"/>
          <w:shd w:val="clear" w:color="auto" w:fill="FFFFFF"/>
        </w:rPr>
        <w:t>W</w:t>
      </w:r>
      <w:r w:rsidR="009423C7" w:rsidRPr="00123464">
        <w:rPr>
          <w:spacing w:val="-1"/>
          <w:sz w:val="22"/>
          <w:szCs w:val="22"/>
          <w:shd w:val="clear" w:color="auto" w:fill="FFFFFF"/>
        </w:rPr>
        <w:t>ill treat the TC Contract as having a fixed window from delivery to the Min date, regardless the basis that is used on the TC contract</w:t>
      </w:r>
      <w:r w:rsidR="00081743" w:rsidRPr="00123464">
        <w:rPr>
          <w:spacing w:val="-1"/>
          <w:sz w:val="22"/>
          <w:szCs w:val="22"/>
          <w:shd w:val="clear" w:color="auto" w:fill="FFFFFF"/>
        </w:rPr>
        <w:t>. It means that the Min/Max period will always be treated as an optional period on the TC contract, so passing the Min period on the TC Contract would not remove the exposure completely with this set up, it would just move the exposure solely into the min/max window instead of having it as fixed TC Contract exposure.</w:t>
      </w:r>
    </w:p>
    <w:p w14:paraId="38D6BFE8" w14:textId="4162184F" w:rsidR="00081743" w:rsidRPr="00123464" w:rsidRDefault="009A2F75" w:rsidP="00C74F7F">
      <w:pPr>
        <w:pStyle w:val="ListParagraph"/>
        <w:numPr>
          <w:ilvl w:val="0"/>
          <w:numId w:val="18"/>
        </w:numPr>
        <w:rPr>
          <w:sz w:val="22"/>
          <w:szCs w:val="22"/>
        </w:rPr>
      </w:pPr>
      <w:r w:rsidRPr="00123464">
        <w:rPr>
          <w:color w:val="172B4D"/>
          <w:spacing w:val="-1"/>
          <w:sz w:val="22"/>
          <w:szCs w:val="22"/>
          <w:shd w:val="clear" w:color="auto" w:fill="FFFFFF"/>
        </w:rPr>
        <w:t>We have a basis that can be used on the TC Contracts called "Min excl. Options" which would use a min duration basis for the contract in exposure and exclude any optional period for the contract.</w:t>
      </w:r>
      <w:r w:rsidR="0056665C" w:rsidRPr="00123464">
        <w:rPr>
          <w:color w:val="172B4D"/>
          <w:spacing w:val="-1"/>
          <w:sz w:val="22"/>
          <w:szCs w:val="22"/>
          <w:shd w:val="clear" w:color="auto" w:fill="FFFFFF"/>
        </w:rPr>
        <w:t xml:space="preserve"> If you want to see exposure only showing up to the point of the </w:t>
      </w:r>
      <w:r w:rsidR="00F5246B" w:rsidRPr="00123464">
        <w:rPr>
          <w:color w:val="172B4D"/>
          <w:spacing w:val="-1"/>
          <w:sz w:val="22"/>
          <w:szCs w:val="22"/>
          <w:shd w:val="clear" w:color="auto" w:fill="FFFFFF"/>
        </w:rPr>
        <w:t>M</w:t>
      </w:r>
      <w:r w:rsidR="0056665C" w:rsidRPr="00123464">
        <w:rPr>
          <w:color w:val="172B4D"/>
          <w:spacing w:val="-1"/>
          <w:sz w:val="22"/>
          <w:szCs w:val="22"/>
          <w:shd w:val="clear" w:color="auto" w:fill="FFFFFF"/>
        </w:rPr>
        <w:t xml:space="preserve">in duration and then have it fall off then </w:t>
      </w:r>
      <w:r w:rsidR="00F5246B" w:rsidRPr="00123464">
        <w:rPr>
          <w:color w:val="172B4D"/>
          <w:spacing w:val="-1"/>
          <w:sz w:val="22"/>
          <w:szCs w:val="22"/>
          <w:shd w:val="clear" w:color="auto" w:fill="FFFFFF"/>
        </w:rPr>
        <w:t>we</w:t>
      </w:r>
      <w:r w:rsidR="0056665C" w:rsidRPr="00123464">
        <w:rPr>
          <w:color w:val="172B4D"/>
          <w:spacing w:val="-1"/>
          <w:sz w:val="22"/>
          <w:szCs w:val="22"/>
          <w:shd w:val="clear" w:color="auto" w:fill="FFFFFF"/>
        </w:rPr>
        <w:t xml:space="preserve"> should leverage this duration basis on the contract instead of </w:t>
      </w:r>
      <w:r w:rsidR="00180E75" w:rsidRPr="00123464">
        <w:rPr>
          <w:color w:val="172B4D"/>
          <w:spacing w:val="-1"/>
          <w:sz w:val="22"/>
          <w:szCs w:val="22"/>
          <w:shd w:val="clear" w:color="auto" w:fill="FFFFFF"/>
        </w:rPr>
        <w:t>enabling</w:t>
      </w:r>
      <w:r w:rsidR="0056665C" w:rsidRPr="00123464">
        <w:rPr>
          <w:color w:val="172B4D"/>
          <w:spacing w:val="-1"/>
          <w:sz w:val="22"/>
          <w:szCs w:val="22"/>
          <w:shd w:val="clear" w:color="auto" w:fill="FFFFFF"/>
        </w:rPr>
        <w:t xml:space="preserve"> the "Use Min Duration on TC Contracts“ </w:t>
      </w:r>
      <w:r w:rsidR="00180E75" w:rsidRPr="00123464">
        <w:rPr>
          <w:color w:val="172B4D"/>
          <w:spacing w:val="-1"/>
          <w:sz w:val="22"/>
          <w:szCs w:val="22"/>
          <w:shd w:val="clear" w:color="auto" w:fill="FFFFFF"/>
        </w:rPr>
        <w:t>flag,</w:t>
      </w:r>
      <w:r w:rsidR="0056665C" w:rsidRPr="00123464">
        <w:rPr>
          <w:color w:val="172B4D"/>
          <w:spacing w:val="-1"/>
          <w:sz w:val="22"/>
          <w:szCs w:val="22"/>
          <w:shd w:val="clear" w:color="auto" w:fill="FFFFFF"/>
        </w:rPr>
        <w:t xml:space="preserve"> as this combination will still result in the min/max option shown.</w:t>
      </w:r>
    </w:p>
    <w:p w14:paraId="16B02675" w14:textId="77777777" w:rsidR="0030162E" w:rsidRDefault="0030162E" w:rsidP="0030162E"/>
    <w:p w14:paraId="61A1E75C" w14:textId="77777777" w:rsidR="00F501EA" w:rsidRDefault="00F501EA" w:rsidP="0030162E"/>
    <w:p w14:paraId="563DC54A" w14:textId="77777777" w:rsidR="00F501EA" w:rsidRPr="00081743" w:rsidRDefault="00F501EA" w:rsidP="0030162E"/>
    <w:p w14:paraId="404A2132" w14:textId="14D3D37F" w:rsidR="000B5560" w:rsidRPr="006E5224" w:rsidRDefault="000B5560" w:rsidP="003D3A69">
      <w:pPr>
        <w:pStyle w:val="ListParagraph"/>
        <w:numPr>
          <w:ilvl w:val="0"/>
          <w:numId w:val="21"/>
        </w:numPr>
        <w:ind w:left="720"/>
        <w:rPr>
          <w:color w:val="4472C4" w:themeColor="accent1"/>
        </w:rPr>
      </w:pPr>
      <w:r w:rsidRPr="006E5224">
        <w:rPr>
          <w:color w:val="4472C4" w:themeColor="accent1"/>
        </w:rPr>
        <w:t>Move Physical Exposure Ahead One Month</w:t>
      </w:r>
      <w:r w:rsidR="00F734AC">
        <w:rPr>
          <w:color w:val="4472C4" w:themeColor="accent1"/>
        </w:rPr>
        <w:t xml:space="preserve"> </w:t>
      </w:r>
    </w:p>
    <w:p w14:paraId="53D363A0" w14:textId="652DFDF6" w:rsidR="0060117D" w:rsidRDefault="008B774D" w:rsidP="008320CC">
      <w:pPr>
        <w:pStyle w:val="ListParagraph"/>
        <w:numPr>
          <w:ilvl w:val="0"/>
          <w:numId w:val="18"/>
        </w:numPr>
        <w:rPr>
          <w:sz w:val="22"/>
          <w:szCs w:val="22"/>
        </w:rPr>
      </w:pPr>
      <w:r>
        <w:rPr>
          <w:sz w:val="22"/>
          <w:szCs w:val="22"/>
        </w:rPr>
        <w:t>P</w:t>
      </w:r>
      <w:r w:rsidRPr="008B774D">
        <w:rPr>
          <w:sz w:val="22"/>
          <w:szCs w:val="22"/>
        </w:rPr>
        <w:t>hysical bunkers that fall in exposure in the current month will be updated to be in exposure in the subsequent month</w:t>
      </w:r>
      <w:r>
        <w:rPr>
          <w:sz w:val="22"/>
          <w:szCs w:val="22"/>
        </w:rPr>
        <w:t>.</w:t>
      </w:r>
    </w:p>
    <w:p w14:paraId="388BA300" w14:textId="77777777" w:rsidR="00D14631" w:rsidRDefault="00D14631" w:rsidP="00D14631">
      <w:pPr>
        <w:pStyle w:val="ListParagraph"/>
        <w:ind w:left="1080"/>
        <w:rPr>
          <w:sz w:val="22"/>
          <w:szCs w:val="22"/>
        </w:rPr>
      </w:pPr>
    </w:p>
    <w:p w14:paraId="0A9CB2B6" w14:textId="54BCF87A" w:rsidR="000F4C93" w:rsidRDefault="003C5CFC" w:rsidP="000F4C93">
      <w:pPr>
        <w:pStyle w:val="ListParagraph"/>
        <w:numPr>
          <w:ilvl w:val="1"/>
          <w:numId w:val="18"/>
        </w:numPr>
        <w:rPr>
          <w:color w:val="4472C4" w:themeColor="accent1"/>
        </w:rPr>
      </w:pPr>
      <w:r>
        <w:rPr>
          <w:color w:val="4472C4" w:themeColor="accent1"/>
        </w:rPr>
        <w:t>Only After Threshold Number of Days in Month Have Passed</w:t>
      </w:r>
    </w:p>
    <w:p w14:paraId="5C6B15A0" w14:textId="4B7354CD" w:rsidR="00D2586E" w:rsidRPr="00CF1EE0" w:rsidRDefault="00324CBE" w:rsidP="00CF1EE0">
      <w:pPr>
        <w:pStyle w:val="ListParagraph"/>
        <w:numPr>
          <w:ilvl w:val="2"/>
          <w:numId w:val="18"/>
        </w:numPr>
        <w:ind w:left="1800"/>
        <w:rPr>
          <w:sz w:val="22"/>
          <w:szCs w:val="22"/>
        </w:rPr>
      </w:pPr>
      <w:r>
        <w:rPr>
          <w:sz w:val="22"/>
          <w:szCs w:val="22"/>
        </w:rPr>
        <w:t>S</w:t>
      </w:r>
      <w:r w:rsidRPr="00324CBE">
        <w:rPr>
          <w:sz w:val="22"/>
          <w:szCs w:val="22"/>
        </w:rPr>
        <w:t>pecif</w:t>
      </w:r>
      <w:r>
        <w:rPr>
          <w:sz w:val="22"/>
          <w:szCs w:val="22"/>
        </w:rPr>
        <w:t>ies</w:t>
      </w:r>
      <w:r w:rsidRPr="00324CBE">
        <w:rPr>
          <w:sz w:val="22"/>
          <w:szCs w:val="22"/>
        </w:rPr>
        <w:t xml:space="preserve"> the number of days that have passed in the month before the bunker exposure moves to the next month. If the sub-flag is unchecked, all physical bunker exposure will move a month past the system exposure date. This profile flag does not impact Bunker Swap or Bunker Swap Options. </w:t>
      </w:r>
    </w:p>
    <w:p w14:paraId="07D94469" w14:textId="77777777" w:rsidR="008B774D" w:rsidRDefault="008B774D" w:rsidP="008B774D">
      <w:pPr>
        <w:pStyle w:val="ListParagraph"/>
        <w:ind w:left="1080"/>
        <w:rPr>
          <w:sz w:val="22"/>
          <w:szCs w:val="22"/>
        </w:rPr>
      </w:pPr>
    </w:p>
    <w:p w14:paraId="052949D6" w14:textId="77777777" w:rsidR="00F501EA" w:rsidRPr="0060117D" w:rsidRDefault="00F501EA" w:rsidP="008B774D">
      <w:pPr>
        <w:pStyle w:val="ListParagraph"/>
        <w:ind w:left="1080"/>
        <w:rPr>
          <w:sz w:val="22"/>
          <w:szCs w:val="22"/>
        </w:rPr>
      </w:pPr>
    </w:p>
    <w:p w14:paraId="1B02F453" w14:textId="6515D253" w:rsidR="000B5560" w:rsidRPr="006E5224" w:rsidRDefault="000B5560" w:rsidP="003D3A69">
      <w:pPr>
        <w:pStyle w:val="ListParagraph"/>
        <w:numPr>
          <w:ilvl w:val="0"/>
          <w:numId w:val="21"/>
        </w:numPr>
        <w:ind w:left="720"/>
        <w:rPr>
          <w:color w:val="4472C4" w:themeColor="accent1"/>
        </w:rPr>
      </w:pPr>
      <w:r w:rsidRPr="006E5224">
        <w:rPr>
          <w:color w:val="4472C4" w:themeColor="accent1"/>
        </w:rPr>
        <w:t>Use Proj/Act Delivery Date for TC Exposure</w:t>
      </w:r>
    </w:p>
    <w:p w14:paraId="39D3B65A" w14:textId="5EA07551" w:rsidR="000B5560" w:rsidRPr="00F501EA" w:rsidRDefault="00D46FBB" w:rsidP="008320CC">
      <w:pPr>
        <w:pStyle w:val="ListParagraph"/>
        <w:numPr>
          <w:ilvl w:val="0"/>
          <w:numId w:val="18"/>
        </w:numPr>
        <w:rPr>
          <w:sz w:val="22"/>
          <w:szCs w:val="22"/>
        </w:rPr>
      </w:pPr>
      <w:r w:rsidRPr="00D46FBB">
        <w:rPr>
          <w:color w:val="172B4D"/>
          <w:spacing w:val="-1"/>
          <w:sz w:val="22"/>
          <w:szCs w:val="22"/>
          <w:shd w:val="clear" w:color="auto" w:fill="FFFFFF"/>
        </w:rPr>
        <w:t>Use</w:t>
      </w:r>
      <w:r>
        <w:rPr>
          <w:color w:val="172B4D"/>
          <w:spacing w:val="-1"/>
          <w:sz w:val="22"/>
          <w:szCs w:val="22"/>
          <w:shd w:val="clear" w:color="auto" w:fill="FFFFFF"/>
        </w:rPr>
        <w:t>s</w:t>
      </w:r>
      <w:r w:rsidRPr="00D46FBB">
        <w:rPr>
          <w:color w:val="172B4D"/>
          <w:spacing w:val="-1"/>
          <w:sz w:val="22"/>
          <w:szCs w:val="22"/>
          <w:shd w:val="clear" w:color="auto" w:fill="FFFFFF"/>
        </w:rPr>
        <w:t xml:space="preserve"> the Projected/Actual Delivery date as the start of exposure for TC contracts by applying the "Use Proj/Act Delivery Date for TC Exposure“ profile flag. The Actual/Projected Delivery Date will populate on the contract instead of the Est. Delivery date.</w:t>
      </w:r>
    </w:p>
    <w:p w14:paraId="6DAC0D83" w14:textId="77777777" w:rsidR="00F501EA" w:rsidRPr="00D46FBB" w:rsidRDefault="00F501EA" w:rsidP="00F501EA">
      <w:pPr>
        <w:pStyle w:val="ListParagraph"/>
        <w:ind w:left="1080"/>
        <w:rPr>
          <w:sz w:val="22"/>
          <w:szCs w:val="22"/>
        </w:rPr>
      </w:pPr>
    </w:p>
    <w:p w14:paraId="359A2DF0" w14:textId="77777777" w:rsidR="00D46FBB" w:rsidRPr="00D46FBB" w:rsidRDefault="00D46FBB" w:rsidP="00D46FBB">
      <w:pPr>
        <w:rPr>
          <w:sz w:val="22"/>
          <w:szCs w:val="22"/>
        </w:rPr>
      </w:pPr>
    </w:p>
    <w:p w14:paraId="5CA3CB34" w14:textId="2C59D885" w:rsidR="000B5560" w:rsidRPr="0060117D" w:rsidRDefault="000B5560" w:rsidP="003D3A69">
      <w:pPr>
        <w:pStyle w:val="ListParagraph"/>
        <w:numPr>
          <w:ilvl w:val="0"/>
          <w:numId w:val="21"/>
        </w:numPr>
        <w:ind w:left="720"/>
        <w:rPr>
          <w:color w:val="4472C4" w:themeColor="accent1"/>
        </w:rPr>
      </w:pPr>
      <w:r w:rsidRPr="0060117D">
        <w:rPr>
          <w:color w:val="4472C4" w:themeColor="accent1"/>
        </w:rPr>
        <w:t>Preserve Exposure at Commencement for Ballast Voyages</w:t>
      </w:r>
    </w:p>
    <w:p w14:paraId="33766053" w14:textId="27E2531C" w:rsidR="008320CC" w:rsidRDefault="005E3339" w:rsidP="008320CC">
      <w:pPr>
        <w:pStyle w:val="ListParagraph"/>
        <w:numPr>
          <w:ilvl w:val="0"/>
          <w:numId w:val="18"/>
        </w:numPr>
        <w:rPr>
          <w:sz w:val="22"/>
          <w:szCs w:val="22"/>
        </w:rPr>
      </w:pPr>
      <w:r w:rsidRPr="00451041">
        <w:rPr>
          <w:sz w:val="22"/>
          <w:szCs w:val="22"/>
        </w:rPr>
        <w:t xml:space="preserve">A vessel sailing on </w:t>
      </w:r>
      <w:r w:rsidR="00C24DBE" w:rsidRPr="00451041">
        <w:rPr>
          <w:sz w:val="22"/>
          <w:szCs w:val="22"/>
        </w:rPr>
        <w:t>an **OV voyage without any cargoes assigned, will have a bunker exposure in the current period reflective of the initial</w:t>
      </w:r>
      <w:r w:rsidR="00E5786A" w:rsidRPr="00451041">
        <w:rPr>
          <w:sz w:val="22"/>
          <w:szCs w:val="22"/>
        </w:rPr>
        <w:t xml:space="preserve"> bunkers at the start of the voyage plus any stemmed bunkers. </w:t>
      </w:r>
      <w:r w:rsidR="005C460D" w:rsidRPr="00451041">
        <w:rPr>
          <w:sz w:val="22"/>
          <w:szCs w:val="22"/>
        </w:rPr>
        <w:t xml:space="preserve">The TC Exposure for the vessel will be based on an open date for the vessel equal to the commencement date of the voyage. </w:t>
      </w:r>
    </w:p>
    <w:p w14:paraId="479D3C24" w14:textId="77777777" w:rsidR="00CF1EE0" w:rsidRDefault="00CF1EE0" w:rsidP="00CF1EE0">
      <w:pPr>
        <w:rPr>
          <w:sz w:val="22"/>
          <w:szCs w:val="22"/>
        </w:rPr>
      </w:pPr>
    </w:p>
    <w:p w14:paraId="084D5786" w14:textId="77777777" w:rsidR="00CF1EE0" w:rsidRDefault="00CF1EE0" w:rsidP="00CF1EE0">
      <w:pPr>
        <w:rPr>
          <w:sz w:val="22"/>
          <w:szCs w:val="22"/>
        </w:rPr>
      </w:pPr>
    </w:p>
    <w:p w14:paraId="21136FBD" w14:textId="77777777" w:rsidR="00D14631" w:rsidRDefault="00D14631" w:rsidP="00CF1EE0">
      <w:pPr>
        <w:rPr>
          <w:sz w:val="22"/>
          <w:szCs w:val="22"/>
        </w:rPr>
      </w:pPr>
    </w:p>
    <w:p w14:paraId="5024BB2F" w14:textId="77777777" w:rsidR="00CF1EE0" w:rsidRDefault="00CF1EE0" w:rsidP="00CF1EE0">
      <w:pPr>
        <w:rPr>
          <w:sz w:val="22"/>
          <w:szCs w:val="22"/>
        </w:rPr>
      </w:pPr>
    </w:p>
    <w:p w14:paraId="76A2F89B" w14:textId="77777777" w:rsidR="00CF1EE0" w:rsidRDefault="00CF1EE0" w:rsidP="00CF1EE0">
      <w:pPr>
        <w:rPr>
          <w:sz w:val="22"/>
          <w:szCs w:val="22"/>
        </w:rPr>
      </w:pPr>
    </w:p>
    <w:p w14:paraId="6F336350" w14:textId="0D1CB914" w:rsidR="00CF1EE0" w:rsidRDefault="00CF1EE0" w:rsidP="00325C64">
      <w:pPr>
        <w:ind w:left="-720" w:right="-720"/>
        <w:jc w:val="center"/>
        <w:rPr>
          <w:color w:val="FF0000"/>
        </w:rPr>
      </w:pPr>
      <w:r w:rsidRPr="00B646EB">
        <w:rPr>
          <w:color w:val="FF0000"/>
        </w:rPr>
        <w:t xml:space="preserve">*Please note that some of these Profile Flags require a Configuration Flag setting(s) to be enabled by Veson </w:t>
      </w:r>
      <w:r w:rsidR="00052087">
        <w:rPr>
          <w:color w:val="FF0000"/>
        </w:rPr>
        <w:t>and</w:t>
      </w:r>
      <w:r w:rsidRPr="00B646EB">
        <w:rPr>
          <w:color w:val="FF0000"/>
        </w:rPr>
        <w:t xml:space="preserve"> cross-checked for conflicting flag settings.</w:t>
      </w:r>
    </w:p>
    <w:p w14:paraId="55D88A02" w14:textId="77777777" w:rsidR="00CF1EE0" w:rsidRPr="00CF1EE0" w:rsidRDefault="00CF1EE0" w:rsidP="00CF1EE0">
      <w:pPr>
        <w:rPr>
          <w:sz w:val="22"/>
          <w:szCs w:val="22"/>
        </w:rPr>
      </w:pPr>
    </w:p>
    <w:sectPr w:rsidR="00CF1EE0" w:rsidRPr="00CF1EE0" w:rsidSect="005F1A1A">
      <w:headerReference w:type="default" r:id="rId13"/>
      <w:footerReference w:type="default" r:id="rId14"/>
      <w:headerReference w:type="first" r:id="rId15"/>
      <w:pgSz w:w="16840" w:h="11907" w:orient="landscape" w:code="9"/>
      <w:pgMar w:top="1418" w:right="1800" w:bottom="1440" w:left="1440" w:header="720" w:footer="3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C4AC" w14:textId="77777777" w:rsidR="005F1A1A" w:rsidRDefault="005F1A1A">
      <w:r>
        <w:separator/>
      </w:r>
    </w:p>
  </w:endnote>
  <w:endnote w:type="continuationSeparator" w:id="0">
    <w:p w14:paraId="3C863157" w14:textId="77777777" w:rsidR="005F1A1A" w:rsidRDefault="005F1A1A">
      <w:r>
        <w:continuationSeparator/>
      </w:r>
    </w:p>
  </w:endnote>
  <w:endnote w:type="continuationNotice" w:id="1">
    <w:p w14:paraId="6FA18F87" w14:textId="77777777" w:rsidR="005F1A1A" w:rsidRDefault="005F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4A82" w14:textId="555C33D9" w:rsidR="003736B9" w:rsidRPr="00665597" w:rsidRDefault="003736B9" w:rsidP="00BF4816">
    <w:pPr>
      <w:pStyle w:val="Footer"/>
      <w:rPr>
        <w:color w:val="7F7F7F" w:themeColor="text1" w:themeTint="80"/>
        <w:sz w:val="18"/>
      </w:rPr>
    </w:pPr>
    <w:r w:rsidRPr="00665597">
      <w:rPr>
        <w:color w:val="7F7F7F" w:themeColor="text1" w:themeTint="80"/>
        <w:sz w:val="18"/>
      </w:rPr>
      <w:t xml:space="preserve">V </w:t>
    </w:r>
    <w:r>
      <w:rPr>
        <w:color w:val="7F7F7F" w:themeColor="text1" w:themeTint="80"/>
        <w:sz w:val="18"/>
      </w:rPr>
      <w:t>2.</w:t>
    </w:r>
    <w:r w:rsidR="005A120F">
      <w:rPr>
        <w:color w:val="7F7F7F" w:themeColor="text1" w:themeTint="80"/>
        <w:sz w:val="18"/>
      </w:rPr>
      <w:t>1</w:t>
    </w:r>
    <w:r w:rsidRPr="00665597">
      <w:rPr>
        <w:color w:val="7F7F7F" w:themeColor="text1" w:themeTint="80"/>
        <w:sz w:val="18"/>
      </w:rPr>
      <w:tab/>
      <w:t>Confidential</w:t>
    </w:r>
    <w:r w:rsidRPr="00665597">
      <w:rPr>
        <w:color w:val="7F7F7F" w:themeColor="text1" w:themeTint="80"/>
        <w:sz w:val="18"/>
      </w:rPr>
      <w:tab/>
      <w:t xml:space="preserve">Page </w:t>
    </w:r>
    <w:r w:rsidRPr="00665597">
      <w:rPr>
        <w:color w:val="7F7F7F" w:themeColor="text1" w:themeTint="80"/>
        <w:sz w:val="18"/>
      </w:rPr>
      <w:fldChar w:fldCharType="begin"/>
    </w:r>
    <w:r w:rsidRPr="00665597">
      <w:rPr>
        <w:color w:val="7F7F7F" w:themeColor="text1" w:themeTint="80"/>
        <w:sz w:val="18"/>
      </w:rPr>
      <w:instrText xml:space="preserve"> PAGE  \* Arabic  \* MERGEFORMAT </w:instrText>
    </w:r>
    <w:r w:rsidRPr="00665597">
      <w:rPr>
        <w:color w:val="7F7F7F" w:themeColor="text1" w:themeTint="80"/>
        <w:sz w:val="18"/>
      </w:rPr>
      <w:fldChar w:fldCharType="separate"/>
    </w:r>
    <w:r>
      <w:rPr>
        <w:noProof/>
        <w:color w:val="7F7F7F" w:themeColor="text1" w:themeTint="80"/>
        <w:sz w:val="18"/>
      </w:rPr>
      <w:t>25</w:t>
    </w:r>
    <w:r w:rsidRPr="00665597">
      <w:rPr>
        <w:color w:val="7F7F7F" w:themeColor="text1" w:themeTint="80"/>
        <w:sz w:val="18"/>
      </w:rPr>
      <w:fldChar w:fldCharType="end"/>
    </w:r>
    <w:r w:rsidRPr="00665597">
      <w:rPr>
        <w:color w:val="7F7F7F" w:themeColor="text1" w:themeTint="80"/>
        <w:sz w:val="18"/>
      </w:rPr>
      <w:t xml:space="preserve"> of </w:t>
    </w:r>
    <w:r w:rsidRPr="00665597">
      <w:rPr>
        <w:color w:val="7F7F7F" w:themeColor="text1" w:themeTint="80"/>
        <w:sz w:val="18"/>
      </w:rPr>
      <w:fldChar w:fldCharType="begin"/>
    </w:r>
    <w:r w:rsidRPr="00665597">
      <w:rPr>
        <w:color w:val="7F7F7F" w:themeColor="text1" w:themeTint="80"/>
        <w:sz w:val="18"/>
      </w:rPr>
      <w:instrText xml:space="preserve"> NUMPAGES  \* Arabic  \* MERGEFORMAT </w:instrText>
    </w:r>
    <w:r w:rsidRPr="00665597">
      <w:rPr>
        <w:color w:val="7F7F7F" w:themeColor="text1" w:themeTint="80"/>
        <w:sz w:val="18"/>
      </w:rPr>
      <w:fldChar w:fldCharType="separate"/>
    </w:r>
    <w:r>
      <w:rPr>
        <w:noProof/>
        <w:color w:val="7F7F7F" w:themeColor="text1" w:themeTint="80"/>
        <w:sz w:val="18"/>
      </w:rPr>
      <w:t>25</w:t>
    </w:r>
    <w:r w:rsidRPr="00665597">
      <w:rPr>
        <w:noProof/>
        <w:color w:val="7F7F7F" w:themeColor="text1" w:themeTint="80"/>
        <w:sz w:val="18"/>
      </w:rPr>
      <w:fldChar w:fldCharType="end"/>
    </w:r>
  </w:p>
  <w:p w14:paraId="12D70DDC" w14:textId="77777777" w:rsidR="003736B9" w:rsidRDefault="003736B9" w:rsidP="00BF4816">
    <w:pPr>
      <w:pStyle w:val="Footer"/>
    </w:pPr>
  </w:p>
  <w:p w14:paraId="5F3B6B7A" w14:textId="77777777" w:rsidR="003736B9" w:rsidRDefault="003736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0386" w14:textId="77777777" w:rsidR="005F1A1A" w:rsidRDefault="005F1A1A">
      <w:r>
        <w:separator/>
      </w:r>
    </w:p>
  </w:footnote>
  <w:footnote w:type="continuationSeparator" w:id="0">
    <w:p w14:paraId="26FA338A" w14:textId="77777777" w:rsidR="005F1A1A" w:rsidRDefault="005F1A1A">
      <w:r>
        <w:continuationSeparator/>
      </w:r>
    </w:p>
  </w:footnote>
  <w:footnote w:type="continuationNotice" w:id="1">
    <w:p w14:paraId="4C4FFCFC" w14:textId="77777777" w:rsidR="005F1A1A" w:rsidRDefault="005F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422" w14:textId="69742CD3" w:rsidR="003736B9" w:rsidRDefault="003736B9" w:rsidP="00BF4816">
    <w:pPr>
      <w:pStyle w:val="Header"/>
      <w:tabs>
        <w:tab w:val="clear" w:pos="8640"/>
        <w:tab w:val="right" w:pos="9000"/>
      </w:tabs>
    </w:pPr>
    <w:r>
      <w:rPr>
        <w:noProof/>
      </w:rPr>
      <w:drawing>
        <wp:inline distT="0" distB="0" distL="0" distR="0" wp14:anchorId="3E790549" wp14:editId="43CCAA32">
          <wp:extent cx="1089025" cy="3898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38989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5AB" w14:textId="77777777" w:rsidR="003736B9" w:rsidRDefault="003736B9" w:rsidP="00BF481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306B"/>
    <w:multiLevelType w:val="multilevel"/>
    <w:tmpl w:val="8CAE67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DB1AC1"/>
    <w:multiLevelType w:val="multilevel"/>
    <w:tmpl w:val="22022F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293996"/>
    <w:multiLevelType w:val="hybridMultilevel"/>
    <w:tmpl w:val="FCE21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E609A9"/>
    <w:multiLevelType w:val="hybridMultilevel"/>
    <w:tmpl w:val="72B2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20799C"/>
    <w:multiLevelType w:val="hybridMultilevel"/>
    <w:tmpl w:val="FE743D48"/>
    <w:lvl w:ilvl="0" w:tplc="9F42210E">
      <w:numFmt w:val="bullet"/>
      <w:lvlText w:val="-"/>
      <w:lvlJc w:val="left"/>
      <w:pPr>
        <w:ind w:left="108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9F42210E">
      <w:numFmt w:val="bullet"/>
      <w:lvlText w:val="-"/>
      <w:lvlJc w:val="left"/>
      <w:pPr>
        <w:ind w:left="2520" w:hanging="360"/>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620ABD"/>
    <w:multiLevelType w:val="hybridMultilevel"/>
    <w:tmpl w:val="C93A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740C0"/>
    <w:multiLevelType w:val="hybridMultilevel"/>
    <w:tmpl w:val="922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603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327A68"/>
    <w:multiLevelType w:val="multilevel"/>
    <w:tmpl w:val="BC1862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2F5496" w:themeColor="accent1" w:themeShade="BF"/>
      </w:rPr>
    </w:lvl>
    <w:lvl w:ilvl="4">
      <w:start w:val="1"/>
      <w:numFmt w:val="decimal"/>
      <w:pStyle w:val="Heading5"/>
      <w:lvlText w:val="%1.%2.%3.%4.%5"/>
      <w:lvlJc w:val="left"/>
      <w:pPr>
        <w:ind w:left="5148" w:hanging="10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214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E2446A"/>
    <w:multiLevelType w:val="hybridMultilevel"/>
    <w:tmpl w:val="7F36CFEC"/>
    <w:lvl w:ilvl="0" w:tplc="FFFFFFFF">
      <w:start w:val="1"/>
      <w:numFmt w:val="bullet"/>
      <w:pStyle w:val="Elistadevietas"/>
      <w:lvlText w:val=""/>
      <w:lvlJc w:val="left"/>
      <w:pPr>
        <w:tabs>
          <w:tab w:val="num" w:pos="717"/>
        </w:tabs>
        <w:ind w:left="717" w:hanging="360"/>
      </w:pPr>
      <w:rPr>
        <w:rFonts w:ascii="Wingdings" w:hAnsi="Wingdings" w:hint="default"/>
        <w:sz w:val="18"/>
        <w:szCs w:val="18"/>
      </w:rPr>
    </w:lvl>
    <w:lvl w:ilvl="1" w:tplc="FFFFFFFF">
      <w:start w:val="1"/>
      <w:numFmt w:val="bullet"/>
      <w:pStyle w:val="Elistadevietas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B6A79"/>
    <w:multiLevelType w:val="hybridMultilevel"/>
    <w:tmpl w:val="7242C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156FD"/>
    <w:multiLevelType w:val="hybridMultilevel"/>
    <w:tmpl w:val="501E283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6D5F07"/>
    <w:multiLevelType w:val="hybridMultilevel"/>
    <w:tmpl w:val="D3AA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F7812"/>
    <w:multiLevelType w:val="hybridMultilevel"/>
    <w:tmpl w:val="26029A98"/>
    <w:lvl w:ilvl="0" w:tplc="FFFFFFFF">
      <w:numFmt w:val="bullet"/>
      <w:lvlText w:val="-"/>
      <w:lvlJc w:val="left"/>
      <w:pPr>
        <w:ind w:left="1080" w:hanging="360"/>
      </w:pPr>
      <w:rPr>
        <w:rFonts w:ascii="Calibri" w:eastAsia="Times New Roman" w:hAnsi="Calibri" w:cs="Calibri"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3A26D2E"/>
    <w:multiLevelType w:val="hybridMultilevel"/>
    <w:tmpl w:val="73C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02DE"/>
    <w:multiLevelType w:val="hybridMultilevel"/>
    <w:tmpl w:val="A23456C8"/>
    <w:lvl w:ilvl="0" w:tplc="FFFFFFFF">
      <w:numFmt w:val="bullet"/>
      <w:lvlText w:val="-"/>
      <w:lvlJc w:val="left"/>
      <w:pPr>
        <w:ind w:left="1080" w:hanging="360"/>
      </w:pPr>
      <w:rPr>
        <w:rFonts w:ascii="Calibri" w:eastAsia="Times New Roman" w:hAnsi="Calibri" w:cs="Calibri"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BCC2582"/>
    <w:multiLevelType w:val="hybridMultilevel"/>
    <w:tmpl w:val="5200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E3194"/>
    <w:multiLevelType w:val="multilevel"/>
    <w:tmpl w:val="5242FE3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1F46B3"/>
    <w:multiLevelType w:val="hybridMultilevel"/>
    <w:tmpl w:val="69E6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2728"/>
    <w:multiLevelType w:val="hybridMultilevel"/>
    <w:tmpl w:val="D42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52A44"/>
    <w:multiLevelType w:val="hybridMultilevel"/>
    <w:tmpl w:val="5366C0C0"/>
    <w:lvl w:ilvl="0" w:tplc="857A1B7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63C71"/>
    <w:multiLevelType w:val="hybridMultilevel"/>
    <w:tmpl w:val="6AFA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47A78"/>
    <w:multiLevelType w:val="hybridMultilevel"/>
    <w:tmpl w:val="B8D2E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7C6B2F"/>
    <w:multiLevelType w:val="multilevel"/>
    <w:tmpl w:val="69122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A68E7"/>
    <w:multiLevelType w:val="hybridMultilevel"/>
    <w:tmpl w:val="1018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900A5"/>
    <w:multiLevelType w:val="hybridMultilevel"/>
    <w:tmpl w:val="E876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779DD"/>
    <w:multiLevelType w:val="hybridMultilevel"/>
    <w:tmpl w:val="765C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C4375"/>
    <w:multiLevelType w:val="hybridMultilevel"/>
    <w:tmpl w:val="FB20AA54"/>
    <w:lvl w:ilvl="0" w:tplc="FFFFFFFF">
      <w:numFmt w:val="bullet"/>
      <w:lvlText w:val="-"/>
      <w:lvlJc w:val="left"/>
      <w:pPr>
        <w:ind w:left="1080" w:hanging="360"/>
      </w:pPr>
      <w:rPr>
        <w:rFonts w:ascii="Calibri" w:eastAsia="Times New Roman" w:hAnsi="Calibri" w:cs="Calibri" w:hint="default"/>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03187144">
    <w:abstractNumId w:val="7"/>
  </w:num>
  <w:num w:numId="2" w16cid:durableId="313417952">
    <w:abstractNumId w:val="9"/>
  </w:num>
  <w:num w:numId="3" w16cid:durableId="169755805">
    <w:abstractNumId w:val="8"/>
  </w:num>
  <w:num w:numId="4" w16cid:durableId="1039552518">
    <w:abstractNumId w:val="20"/>
  </w:num>
  <w:num w:numId="5" w16cid:durableId="1213228462">
    <w:abstractNumId w:val="19"/>
  </w:num>
  <w:num w:numId="6" w16cid:durableId="1575895605">
    <w:abstractNumId w:val="10"/>
  </w:num>
  <w:num w:numId="7" w16cid:durableId="1040402281">
    <w:abstractNumId w:val="24"/>
  </w:num>
  <w:num w:numId="8" w16cid:durableId="1134787755">
    <w:abstractNumId w:val="26"/>
  </w:num>
  <w:num w:numId="9" w16cid:durableId="154996558">
    <w:abstractNumId w:val="16"/>
  </w:num>
  <w:num w:numId="10" w16cid:durableId="159273866">
    <w:abstractNumId w:val="5"/>
  </w:num>
  <w:num w:numId="11" w16cid:durableId="60718182">
    <w:abstractNumId w:val="14"/>
  </w:num>
  <w:num w:numId="12" w16cid:durableId="2008557989">
    <w:abstractNumId w:val="21"/>
  </w:num>
  <w:num w:numId="13" w16cid:durableId="1449466384">
    <w:abstractNumId w:val="18"/>
  </w:num>
  <w:num w:numId="14" w16cid:durableId="1002850649">
    <w:abstractNumId w:val="3"/>
  </w:num>
  <w:num w:numId="15" w16cid:durableId="1980374905">
    <w:abstractNumId w:val="2"/>
  </w:num>
  <w:num w:numId="16" w16cid:durableId="1833837342">
    <w:abstractNumId w:val="25"/>
  </w:num>
  <w:num w:numId="17" w16cid:durableId="301427063">
    <w:abstractNumId w:val="6"/>
  </w:num>
  <w:num w:numId="18" w16cid:durableId="625044785">
    <w:abstractNumId w:val="4"/>
  </w:num>
  <w:num w:numId="19" w16cid:durableId="395713021">
    <w:abstractNumId w:val="11"/>
  </w:num>
  <w:num w:numId="20" w16cid:durableId="87701765">
    <w:abstractNumId w:val="12"/>
  </w:num>
  <w:num w:numId="21" w16cid:durableId="1288395370">
    <w:abstractNumId w:val="22"/>
  </w:num>
  <w:num w:numId="22" w16cid:durableId="823863511">
    <w:abstractNumId w:val="0"/>
  </w:num>
  <w:num w:numId="23" w16cid:durableId="313602844">
    <w:abstractNumId w:val="1"/>
  </w:num>
  <w:num w:numId="24" w16cid:durableId="46420080">
    <w:abstractNumId w:val="23"/>
  </w:num>
  <w:num w:numId="25" w16cid:durableId="1452556676">
    <w:abstractNumId w:val="17"/>
  </w:num>
  <w:num w:numId="26" w16cid:durableId="662323230">
    <w:abstractNumId w:val="27"/>
  </w:num>
  <w:num w:numId="27" w16cid:durableId="471408850">
    <w:abstractNumId w:val="15"/>
  </w:num>
  <w:num w:numId="28" w16cid:durableId="38191023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B0"/>
    <w:rsid w:val="000004A6"/>
    <w:rsid w:val="0000162E"/>
    <w:rsid w:val="00001B4F"/>
    <w:rsid w:val="000026AA"/>
    <w:rsid w:val="00005F13"/>
    <w:rsid w:val="00010504"/>
    <w:rsid w:val="00010E90"/>
    <w:rsid w:val="000122AC"/>
    <w:rsid w:val="000166D6"/>
    <w:rsid w:val="00020848"/>
    <w:rsid w:val="00020C1F"/>
    <w:rsid w:val="00022596"/>
    <w:rsid w:val="00023C90"/>
    <w:rsid w:val="0002412A"/>
    <w:rsid w:val="000254FF"/>
    <w:rsid w:val="0002703C"/>
    <w:rsid w:val="00027909"/>
    <w:rsid w:val="00030BAD"/>
    <w:rsid w:val="000316C8"/>
    <w:rsid w:val="000339D3"/>
    <w:rsid w:val="000368D6"/>
    <w:rsid w:val="00037ED6"/>
    <w:rsid w:val="0004275F"/>
    <w:rsid w:val="000427AC"/>
    <w:rsid w:val="00044425"/>
    <w:rsid w:val="00044522"/>
    <w:rsid w:val="00045F1C"/>
    <w:rsid w:val="00046701"/>
    <w:rsid w:val="000477E0"/>
    <w:rsid w:val="000511B3"/>
    <w:rsid w:val="00051310"/>
    <w:rsid w:val="000513A0"/>
    <w:rsid w:val="00051733"/>
    <w:rsid w:val="00051829"/>
    <w:rsid w:val="00051D20"/>
    <w:rsid w:val="00052087"/>
    <w:rsid w:val="00054E9E"/>
    <w:rsid w:val="0005747A"/>
    <w:rsid w:val="0006039D"/>
    <w:rsid w:val="00060777"/>
    <w:rsid w:val="00060B2A"/>
    <w:rsid w:val="00060B89"/>
    <w:rsid w:val="00060BF4"/>
    <w:rsid w:val="000616A6"/>
    <w:rsid w:val="00063CD8"/>
    <w:rsid w:val="00065D3E"/>
    <w:rsid w:val="00066B0E"/>
    <w:rsid w:val="00070A02"/>
    <w:rsid w:val="000713B9"/>
    <w:rsid w:val="0007145E"/>
    <w:rsid w:val="00074919"/>
    <w:rsid w:val="00075594"/>
    <w:rsid w:val="00075804"/>
    <w:rsid w:val="0007678F"/>
    <w:rsid w:val="00076C1B"/>
    <w:rsid w:val="00076DAB"/>
    <w:rsid w:val="0007720F"/>
    <w:rsid w:val="00077B88"/>
    <w:rsid w:val="0008036D"/>
    <w:rsid w:val="000807A8"/>
    <w:rsid w:val="00081743"/>
    <w:rsid w:val="00082458"/>
    <w:rsid w:val="00082493"/>
    <w:rsid w:val="000843A1"/>
    <w:rsid w:val="00087D01"/>
    <w:rsid w:val="00087F37"/>
    <w:rsid w:val="00090FA1"/>
    <w:rsid w:val="00093178"/>
    <w:rsid w:val="000A0977"/>
    <w:rsid w:val="000A0FA9"/>
    <w:rsid w:val="000A25B0"/>
    <w:rsid w:val="000A2A23"/>
    <w:rsid w:val="000A3375"/>
    <w:rsid w:val="000A4A57"/>
    <w:rsid w:val="000A5499"/>
    <w:rsid w:val="000A6DCA"/>
    <w:rsid w:val="000B04C8"/>
    <w:rsid w:val="000B133C"/>
    <w:rsid w:val="000B2242"/>
    <w:rsid w:val="000B291A"/>
    <w:rsid w:val="000B31EE"/>
    <w:rsid w:val="000B3CC3"/>
    <w:rsid w:val="000B4638"/>
    <w:rsid w:val="000B480C"/>
    <w:rsid w:val="000B5560"/>
    <w:rsid w:val="000B58AC"/>
    <w:rsid w:val="000B5C7B"/>
    <w:rsid w:val="000B61FE"/>
    <w:rsid w:val="000B7790"/>
    <w:rsid w:val="000B7B4E"/>
    <w:rsid w:val="000C47C7"/>
    <w:rsid w:val="000C4C74"/>
    <w:rsid w:val="000C4EFD"/>
    <w:rsid w:val="000C5CD8"/>
    <w:rsid w:val="000C75FA"/>
    <w:rsid w:val="000C778B"/>
    <w:rsid w:val="000C7E26"/>
    <w:rsid w:val="000D0246"/>
    <w:rsid w:val="000D04AA"/>
    <w:rsid w:val="000D169A"/>
    <w:rsid w:val="000D372B"/>
    <w:rsid w:val="000D3985"/>
    <w:rsid w:val="000D4A5B"/>
    <w:rsid w:val="000D4C4A"/>
    <w:rsid w:val="000D55ED"/>
    <w:rsid w:val="000D5932"/>
    <w:rsid w:val="000D5D08"/>
    <w:rsid w:val="000E2E51"/>
    <w:rsid w:val="000E410D"/>
    <w:rsid w:val="000E45F9"/>
    <w:rsid w:val="000E511F"/>
    <w:rsid w:val="000E7608"/>
    <w:rsid w:val="000F10D9"/>
    <w:rsid w:val="000F285E"/>
    <w:rsid w:val="000F4616"/>
    <w:rsid w:val="000F4C93"/>
    <w:rsid w:val="000F51D9"/>
    <w:rsid w:val="000F525B"/>
    <w:rsid w:val="000F688B"/>
    <w:rsid w:val="000F6998"/>
    <w:rsid w:val="000F6FC0"/>
    <w:rsid w:val="000F726B"/>
    <w:rsid w:val="00100B94"/>
    <w:rsid w:val="00100C0A"/>
    <w:rsid w:val="00100CB2"/>
    <w:rsid w:val="00101B48"/>
    <w:rsid w:val="001027A2"/>
    <w:rsid w:val="0010364F"/>
    <w:rsid w:val="00103B5F"/>
    <w:rsid w:val="00105DE6"/>
    <w:rsid w:val="0011073A"/>
    <w:rsid w:val="00113BC4"/>
    <w:rsid w:val="00113EEB"/>
    <w:rsid w:val="00115C12"/>
    <w:rsid w:val="00117048"/>
    <w:rsid w:val="00117EB1"/>
    <w:rsid w:val="00121E0D"/>
    <w:rsid w:val="001224C2"/>
    <w:rsid w:val="00122C29"/>
    <w:rsid w:val="001230E3"/>
    <w:rsid w:val="00123464"/>
    <w:rsid w:val="00123C9B"/>
    <w:rsid w:val="0012457F"/>
    <w:rsid w:val="00125856"/>
    <w:rsid w:val="00127870"/>
    <w:rsid w:val="00127B75"/>
    <w:rsid w:val="001301E3"/>
    <w:rsid w:val="00132557"/>
    <w:rsid w:val="0013336E"/>
    <w:rsid w:val="0013420D"/>
    <w:rsid w:val="0013482A"/>
    <w:rsid w:val="00135D76"/>
    <w:rsid w:val="001360FE"/>
    <w:rsid w:val="00136200"/>
    <w:rsid w:val="0013623C"/>
    <w:rsid w:val="001366E8"/>
    <w:rsid w:val="001376D7"/>
    <w:rsid w:val="00142D74"/>
    <w:rsid w:val="0014411B"/>
    <w:rsid w:val="00144E06"/>
    <w:rsid w:val="00146C7B"/>
    <w:rsid w:val="001471D6"/>
    <w:rsid w:val="00147387"/>
    <w:rsid w:val="001519A3"/>
    <w:rsid w:val="0015209B"/>
    <w:rsid w:val="00152E45"/>
    <w:rsid w:val="00154400"/>
    <w:rsid w:val="001570EB"/>
    <w:rsid w:val="001571D6"/>
    <w:rsid w:val="00160338"/>
    <w:rsid w:val="00161327"/>
    <w:rsid w:val="00161687"/>
    <w:rsid w:val="00162BE9"/>
    <w:rsid w:val="00163296"/>
    <w:rsid w:val="001638BA"/>
    <w:rsid w:val="00163A1B"/>
    <w:rsid w:val="00164BE4"/>
    <w:rsid w:val="00165E34"/>
    <w:rsid w:val="00166894"/>
    <w:rsid w:val="001677C7"/>
    <w:rsid w:val="00171F45"/>
    <w:rsid w:val="00172CF9"/>
    <w:rsid w:val="00173469"/>
    <w:rsid w:val="00173833"/>
    <w:rsid w:val="001749BE"/>
    <w:rsid w:val="00174D71"/>
    <w:rsid w:val="00175D6E"/>
    <w:rsid w:val="00176984"/>
    <w:rsid w:val="00176EC4"/>
    <w:rsid w:val="00177094"/>
    <w:rsid w:val="001776C9"/>
    <w:rsid w:val="00177A73"/>
    <w:rsid w:val="00177D60"/>
    <w:rsid w:val="00177DA7"/>
    <w:rsid w:val="001805DC"/>
    <w:rsid w:val="00180D1E"/>
    <w:rsid w:val="00180D63"/>
    <w:rsid w:val="00180E75"/>
    <w:rsid w:val="001862DB"/>
    <w:rsid w:val="00186C73"/>
    <w:rsid w:val="00187339"/>
    <w:rsid w:val="00190967"/>
    <w:rsid w:val="001A1C8F"/>
    <w:rsid w:val="001A3DAF"/>
    <w:rsid w:val="001A4BB7"/>
    <w:rsid w:val="001B48F6"/>
    <w:rsid w:val="001B632F"/>
    <w:rsid w:val="001B75F2"/>
    <w:rsid w:val="001C0A2D"/>
    <w:rsid w:val="001C0B54"/>
    <w:rsid w:val="001C0DBA"/>
    <w:rsid w:val="001C18EC"/>
    <w:rsid w:val="001C23D6"/>
    <w:rsid w:val="001C3082"/>
    <w:rsid w:val="001C4764"/>
    <w:rsid w:val="001C507B"/>
    <w:rsid w:val="001C52FE"/>
    <w:rsid w:val="001C59EA"/>
    <w:rsid w:val="001C64A7"/>
    <w:rsid w:val="001C72BA"/>
    <w:rsid w:val="001D09DC"/>
    <w:rsid w:val="001D1793"/>
    <w:rsid w:val="001D1F2A"/>
    <w:rsid w:val="001D2105"/>
    <w:rsid w:val="001D27CF"/>
    <w:rsid w:val="001D2A0C"/>
    <w:rsid w:val="001D44CA"/>
    <w:rsid w:val="001D64AC"/>
    <w:rsid w:val="001D7A04"/>
    <w:rsid w:val="001E00D3"/>
    <w:rsid w:val="001E01AA"/>
    <w:rsid w:val="001E0253"/>
    <w:rsid w:val="001E1300"/>
    <w:rsid w:val="001E18D0"/>
    <w:rsid w:val="001E301F"/>
    <w:rsid w:val="001E34A3"/>
    <w:rsid w:val="001E34AC"/>
    <w:rsid w:val="001E36A4"/>
    <w:rsid w:val="001E6CFF"/>
    <w:rsid w:val="001E7199"/>
    <w:rsid w:val="001F023F"/>
    <w:rsid w:val="001F13BA"/>
    <w:rsid w:val="001F140F"/>
    <w:rsid w:val="001F2032"/>
    <w:rsid w:val="001F220F"/>
    <w:rsid w:val="001F29F9"/>
    <w:rsid w:val="001F47AC"/>
    <w:rsid w:val="001F593D"/>
    <w:rsid w:val="001F5A52"/>
    <w:rsid w:val="001F5E55"/>
    <w:rsid w:val="001F6034"/>
    <w:rsid w:val="001F6070"/>
    <w:rsid w:val="001F6AB4"/>
    <w:rsid w:val="001F736B"/>
    <w:rsid w:val="002001DE"/>
    <w:rsid w:val="0020048F"/>
    <w:rsid w:val="00200A4F"/>
    <w:rsid w:val="00201AD4"/>
    <w:rsid w:val="00203C5A"/>
    <w:rsid w:val="00205059"/>
    <w:rsid w:val="00205B44"/>
    <w:rsid w:val="00207472"/>
    <w:rsid w:val="00210E02"/>
    <w:rsid w:val="00211085"/>
    <w:rsid w:val="00213FE9"/>
    <w:rsid w:val="002149D2"/>
    <w:rsid w:val="00215C32"/>
    <w:rsid w:val="0021673E"/>
    <w:rsid w:val="00216ACA"/>
    <w:rsid w:val="00216ADD"/>
    <w:rsid w:val="00217157"/>
    <w:rsid w:val="00220AD1"/>
    <w:rsid w:val="00221508"/>
    <w:rsid w:val="00221627"/>
    <w:rsid w:val="00224321"/>
    <w:rsid w:val="002252C4"/>
    <w:rsid w:val="002263E3"/>
    <w:rsid w:val="00226FB1"/>
    <w:rsid w:val="00227F1F"/>
    <w:rsid w:val="00231959"/>
    <w:rsid w:val="00233299"/>
    <w:rsid w:val="0023575D"/>
    <w:rsid w:val="0023730C"/>
    <w:rsid w:val="002404C2"/>
    <w:rsid w:val="00242978"/>
    <w:rsid w:val="00247001"/>
    <w:rsid w:val="00247ED8"/>
    <w:rsid w:val="00251008"/>
    <w:rsid w:val="002517D0"/>
    <w:rsid w:val="00252358"/>
    <w:rsid w:val="002548FB"/>
    <w:rsid w:val="00255AB0"/>
    <w:rsid w:val="00255B8E"/>
    <w:rsid w:val="002567D9"/>
    <w:rsid w:val="00260F00"/>
    <w:rsid w:val="00262D50"/>
    <w:rsid w:val="00262F45"/>
    <w:rsid w:val="00263038"/>
    <w:rsid w:val="002644D2"/>
    <w:rsid w:val="00264AEA"/>
    <w:rsid w:val="0026507C"/>
    <w:rsid w:val="00266B54"/>
    <w:rsid w:val="002678B3"/>
    <w:rsid w:val="002678BE"/>
    <w:rsid w:val="00267B1D"/>
    <w:rsid w:val="00270FD0"/>
    <w:rsid w:val="002713A3"/>
    <w:rsid w:val="0027163C"/>
    <w:rsid w:val="0027188F"/>
    <w:rsid w:val="00271C9C"/>
    <w:rsid w:val="00272294"/>
    <w:rsid w:val="00272320"/>
    <w:rsid w:val="00273894"/>
    <w:rsid w:val="00273FDD"/>
    <w:rsid w:val="00274173"/>
    <w:rsid w:val="002747B5"/>
    <w:rsid w:val="00275717"/>
    <w:rsid w:val="00275ED4"/>
    <w:rsid w:val="00275F1A"/>
    <w:rsid w:val="0027614C"/>
    <w:rsid w:val="00277815"/>
    <w:rsid w:val="002801F2"/>
    <w:rsid w:val="00280458"/>
    <w:rsid w:val="00280981"/>
    <w:rsid w:val="00280E54"/>
    <w:rsid w:val="0028148B"/>
    <w:rsid w:val="00281513"/>
    <w:rsid w:val="00281644"/>
    <w:rsid w:val="00281BA3"/>
    <w:rsid w:val="00282FB2"/>
    <w:rsid w:val="00283F7D"/>
    <w:rsid w:val="00284DEA"/>
    <w:rsid w:val="00285F9A"/>
    <w:rsid w:val="002869A6"/>
    <w:rsid w:val="00291B2C"/>
    <w:rsid w:val="00292322"/>
    <w:rsid w:val="002932D9"/>
    <w:rsid w:val="00293860"/>
    <w:rsid w:val="002951E7"/>
    <w:rsid w:val="00295B87"/>
    <w:rsid w:val="002A0081"/>
    <w:rsid w:val="002A0243"/>
    <w:rsid w:val="002A048D"/>
    <w:rsid w:val="002A15CA"/>
    <w:rsid w:val="002A1DD9"/>
    <w:rsid w:val="002A286C"/>
    <w:rsid w:val="002A3184"/>
    <w:rsid w:val="002A54E9"/>
    <w:rsid w:val="002A5A01"/>
    <w:rsid w:val="002A6E39"/>
    <w:rsid w:val="002B020D"/>
    <w:rsid w:val="002B1316"/>
    <w:rsid w:val="002B2104"/>
    <w:rsid w:val="002B39CF"/>
    <w:rsid w:val="002B3EAB"/>
    <w:rsid w:val="002B4062"/>
    <w:rsid w:val="002B4EAE"/>
    <w:rsid w:val="002B5FFF"/>
    <w:rsid w:val="002B654E"/>
    <w:rsid w:val="002B7862"/>
    <w:rsid w:val="002C11F6"/>
    <w:rsid w:val="002C2F6D"/>
    <w:rsid w:val="002C35B0"/>
    <w:rsid w:val="002C499F"/>
    <w:rsid w:val="002C5292"/>
    <w:rsid w:val="002C5F65"/>
    <w:rsid w:val="002C7D42"/>
    <w:rsid w:val="002D0443"/>
    <w:rsid w:val="002D2BCB"/>
    <w:rsid w:val="002D2D3B"/>
    <w:rsid w:val="002D39C8"/>
    <w:rsid w:val="002D3BC2"/>
    <w:rsid w:val="002D4781"/>
    <w:rsid w:val="002D58C7"/>
    <w:rsid w:val="002D65E3"/>
    <w:rsid w:val="002D7720"/>
    <w:rsid w:val="002D7884"/>
    <w:rsid w:val="002E1A48"/>
    <w:rsid w:val="002E38D2"/>
    <w:rsid w:val="002E48CE"/>
    <w:rsid w:val="002E5011"/>
    <w:rsid w:val="002E5B8B"/>
    <w:rsid w:val="002E7FBF"/>
    <w:rsid w:val="002F0B8E"/>
    <w:rsid w:val="002F2F54"/>
    <w:rsid w:val="002F39E6"/>
    <w:rsid w:val="002F4B21"/>
    <w:rsid w:val="002F6F07"/>
    <w:rsid w:val="002F72AC"/>
    <w:rsid w:val="0030002A"/>
    <w:rsid w:val="003003BB"/>
    <w:rsid w:val="0030162E"/>
    <w:rsid w:val="003041D3"/>
    <w:rsid w:val="00304C40"/>
    <w:rsid w:val="00306240"/>
    <w:rsid w:val="00306DAC"/>
    <w:rsid w:val="00307FEE"/>
    <w:rsid w:val="00310126"/>
    <w:rsid w:val="00311A8E"/>
    <w:rsid w:val="00311E70"/>
    <w:rsid w:val="00312199"/>
    <w:rsid w:val="0031272E"/>
    <w:rsid w:val="0031336F"/>
    <w:rsid w:val="00313B18"/>
    <w:rsid w:val="00315A5A"/>
    <w:rsid w:val="00316A7A"/>
    <w:rsid w:val="003174A0"/>
    <w:rsid w:val="00317937"/>
    <w:rsid w:val="00317CDA"/>
    <w:rsid w:val="003201D0"/>
    <w:rsid w:val="00321232"/>
    <w:rsid w:val="00323B24"/>
    <w:rsid w:val="00323DE2"/>
    <w:rsid w:val="00324368"/>
    <w:rsid w:val="00324CBE"/>
    <w:rsid w:val="003254CF"/>
    <w:rsid w:val="00325C64"/>
    <w:rsid w:val="00326719"/>
    <w:rsid w:val="00327AA4"/>
    <w:rsid w:val="003310EE"/>
    <w:rsid w:val="003315A6"/>
    <w:rsid w:val="00331F6A"/>
    <w:rsid w:val="00332061"/>
    <w:rsid w:val="00332A1A"/>
    <w:rsid w:val="003335C6"/>
    <w:rsid w:val="00337709"/>
    <w:rsid w:val="00342EFC"/>
    <w:rsid w:val="00344776"/>
    <w:rsid w:val="00344938"/>
    <w:rsid w:val="003457EF"/>
    <w:rsid w:val="00346C7A"/>
    <w:rsid w:val="00347B01"/>
    <w:rsid w:val="00350688"/>
    <w:rsid w:val="00350C69"/>
    <w:rsid w:val="00351538"/>
    <w:rsid w:val="003523D1"/>
    <w:rsid w:val="0035486F"/>
    <w:rsid w:val="00354D48"/>
    <w:rsid w:val="00354F11"/>
    <w:rsid w:val="003561B8"/>
    <w:rsid w:val="003603C4"/>
    <w:rsid w:val="0036133C"/>
    <w:rsid w:val="00361409"/>
    <w:rsid w:val="003614BD"/>
    <w:rsid w:val="00364FB6"/>
    <w:rsid w:val="00366857"/>
    <w:rsid w:val="00367C24"/>
    <w:rsid w:val="00371222"/>
    <w:rsid w:val="00371ED2"/>
    <w:rsid w:val="003732E5"/>
    <w:rsid w:val="003736B9"/>
    <w:rsid w:val="00373933"/>
    <w:rsid w:val="003759CE"/>
    <w:rsid w:val="00375F2E"/>
    <w:rsid w:val="00376980"/>
    <w:rsid w:val="0037781D"/>
    <w:rsid w:val="003808F0"/>
    <w:rsid w:val="00381A9A"/>
    <w:rsid w:val="00381F0E"/>
    <w:rsid w:val="00382037"/>
    <w:rsid w:val="0038237E"/>
    <w:rsid w:val="00383054"/>
    <w:rsid w:val="00384BF5"/>
    <w:rsid w:val="00385DD1"/>
    <w:rsid w:val="00386B7F"/>
    <w:rsid w:val="003870F0"/>
    <w:rsid w:val="00387E43"/>
    <w:rsid w:val="003903EA"/>
    <w:rsid w:val="003919CA"/>
    <w:rsid w:val="0039368B"/>
    <w:rsid w:val="00393911"/>
    <w:rsid w:val="00394296"/>
    <w:rsid w:val="003950F4"/>
    <w:rsid w:val="00396413"/>
    <w:rsid w:val="00396AB8"/>
    <w:rsid w:val="00397F63"/>
    <w:rsid w:val="003A1554"/>
    <w:rsid w:val="003A1EA2"/>
    <w:rsid w:val="003A24C2"/>
    <w:rsid w:val="003A2951"/>
    <w:rsid w:val="003A2C1C"/>
    <w:rsid w:val="003A2D27"/>
    <w:rsid w:val="003A4192"/>
    <w:rsid w:val="003A5CB3"/>
    <w:rsid w:val="003A5F50"/>
    <w:rsid w:val="003A6BF6"/>
    <w:rsid w:val="003A77F6"/>
    <w:rsid w:val="003A7D89"/>
    <w:rsid w:val="003B26D5"/>
    <w:rsid w:val="003B2C32"/>
    <w:rsid w:val="003B425C"/>
    <w:rsid w:val="003B5311"/>
    <w:rsid w:val="003B6C71"/>
    <w:rsid w:val="003B73C5"/>
    <w:rsid w:val="003C0149"/>
    <w:rsid w:val="003C09E8"/>
    <w:rsid w:val="003C164C"/>
    <w:rsid w:val="003C1846"/>
    <w:rsid w:val="003C1A42"/>
    <w:rsid w:val="003C4BF2"/>
    <w:rsid w:val="003C5CFC"/>
    <w:rsid w:val="003C6AA4"/>
    <w:rsid w:val="003C6FB1"/>
    <w:rsid w:val="003D04F0"/>
    <w:rsid w:val="003D35E3"/>
    <w:rsid w:val="003D38AC"/>
    <w:rsid w:val="003D3A69"/>
    <w:rsid w:val="003D6C8F"/>
    <w:rsid w:val="003D7292"/>
    <w:rsid w:val="003E001A"/>
    <w:rsid w:val="003E0D56"/>
    <w:rsid w:val="003E2CDF"/>
    <w:rsid w:val="003E354C"/>
    <w:rsid w:val="003E4626"/>
    <w:rsid w:val="003E5557"/>
    <w:rsid w:val="003E6816"/>
    <w:rsid w:val="003F096E"/>
    <w:rsid w:val="003F09C6"/>
    <w:rsid w:val="003F1A10"/>
    <w:rsid w:val="003F3036"/>
    <w:rsid w:val="003F38D5"/>
    <w:rsid w:val="003F494D"/>
    <w:rsid w:val="003F7E57"/>
    <w:rsid w:val="003F7EFD"/>
    <w:rsid w:val="00400FBE"/>
    <w:rsid w:val="00401809"/>
    <w:rsid w:val="00401D4F"/>
    <w:rsid w:val="00402BA9"/>
    <w:rsid w:val="0040301C"/>
    <w:rsid w:val="004031C1"/>
    <w:rsid w:val="00405CA4"/>
    <w:rsid w:val="004068E2"/>
    <w:rsid w:val="00407171"/>
    <w:rsid w:val="00407286"/>
    <w:rsid w:val="00407546"/>
    <w:rsid w:val="00407A36"/>
    <w:rsid w:val="00407F74"/>
    <w:rsid w:val="00407F87"/>
    <w:rsid w:val="00411042"/>
    <w:rsid w:val="004116DA"/>
    <w:rsid w:val="00411D4C"/>
    <w:rsid w:val="00412886"/>
    <w:rsid w:val="00413281"/>
    <w:rsid w:val="004136B0"/>
    <w:rsid w:val="00413D32"/>
    <w:rsid w:val="00414F2E"/>
    <w:rsid w:val="00416CB2"/>
    <w:rsid w:val="00417124"/>
    <w:rsid w:val="0042010E"/>
    <w:rsid w:val="0042045F"/>
    <w:rsid w:val="0042130E"/>
    <w:rsid w:val="00421CA2"/>
    <w:rsid w:val="00422311"/>
    <w:rsid w:val="004223A5"/>
    <w:rsid w:val="00422CB4"/>
    <w:rsid w:val="00422E4F"/>
    <w:rsid w:val="00423310"/>
    <w:rsid w:val="00423A03"/>
    <w:rsid w:val="004262E1"/>
    <w:rsid w:val="0042752B"/>
    <w:rsid w:val="00430B22"/>
    <w:rsid w:val="00433688"/>
    <w:rsid w:val="00435FC0"/>
    <w:rsid w:val="00436892"/>
    <w:rsid w:val="00436CF8"/>
    <w:rsid w:val="004404F5"/>
    <w:rsid w:val="00440E98"/>
    <w:rsid w:val="00443093"/>
    <w:rsid w:val="00443581"/>
    <w:rsid w:val="004454B7"/>
    <w:rsid w:val="00445BE5"/>
    <w:rsid w:val="00447D69"/>
    <w:rsid w:val="00451026"/>
    <w:rsid w:val="00451041"/>
    <w:rsid w:val="0045222D"/>
    <w:rsid w:val="004523C7"/>
    <w:rsid w:val="004523D3"/>
    <w:rsid w:val="0045706C"/>
    <w:rsid w:val="00457B84"/>
    <w:rsid w:val="00460B9C"/>
    <w:rsid w:val="0046130D"/>
    <w:rsid w:val="00461581"/>
    <w:rsid w:val="0046200F"/>
    <w:rsid w:val="00462445"/>
    <w:rsid w:val="00462513"/>
    <w:rsid w:val="00464A78"/>
    <w:rsid w:val="004668BC"/>
    <w:rsid w:val="00466E31"/>
    <w:rsid w:val="004678A0"/>
    <w:rsid w:val="00467C03"/>
    <w:rsid w:val="0047027E"/>
    <w:rsid w:val="00470A70"/>
    <w:rsid w:val="00470BF5"/>
    <w:rsid w:val="004713CF"/>
    <w:rsid w:val="004739B4"/>
    <w:rsid w:val="00473CE4"/>
    <w:rsid w:val="00473FED"/>
    <w:rsid w:val="00475076"/>
    <w:rsid w:val="004756B2"/>
    <w:rsid w:val="00475743"/>
    <w:rsid w:val="00475FD9"/>
    <w:rsid w:val="004760DE"/>
    <w:rsid w:val="00477C0A"/>
    <w:rsid w:val="00480CAA"/>
    <w:rsid w:val="00481146"/>
    <w:rsid w:val="00481ABE"/>
    <w:rsid w:val="00483961"/>
    <w:rsid w:val="00484EA7"/>
    <w:rsid w:val="00485671"/>
    <w:rsid w:val="00486D50"/>
    <w:rsid w:val="00487D0C"/>
    <w:rsid w:val="00487F22"/>
    <w:rsid w:val="0049025F"/>
    <w:rsid w:val="004903BA"/>
    <w:rsid w:val="00491282"/>
    <w:rsid w:val="004915B1"/>
    <w:rsid w:val="00491652"/>
    <w:rsid w:val="00491EC9"/>
    <w:rsid w:val="00493DF3"/>
    <w:rsid w:val="0049669B"/>
    <w:rsid w:val="004A01DE"/>
    <w:rsid w:val="004A05C4"/>
    <w:rsid w:val="004A05E1"/>
    <w:rsid w:val="004A070A"/>
    <w:rsid w:val="004A2576"/>
    <w:rsid w:val="004A304C"/>
    <w:rsid w:val="004A3A5B"/>
    <w:rsid w:val="004A489D"/>
    <w:rsid w:val="004A49CE"/>
    <w:rsid w:val="004A50AB"/>
    <w:rsid w:val="004A526E"/>
    <w:rsid w:val="004A52ED"/>
    <w:rsid w:val="004A5A50"/>
    <w:rsid w:val="004A7560"/>
    <w:rsid w:val="004B0326"/>
    <w:rsid w:val="004B0AA5"/>
    <w:rsid w:val="004B0ADB"/>
    <w:rsid w:val="004B2388"/>
    <w:rsid w:val="004B251E"/>
    <w:rsid w:val="004B28B6"/>
    <w:rsid w:val="004B2CBF"/>
    <w:rsid w:val="004B2E22"/>
    <w:rsid w:val="004B3C10"/>
    <w:rsid w:val="004B50B5"/>
    <w:rsid w:val="004B59CC"/>
    <w:rsid w:val="004B5F5C"/>
    <w:rsid w:val="004B7127"/>
    <w:rsid w:val="004C0E8F"/>
    <w:rsid w:val="004C1F47"/>
    <w:rsid w:val="004C2A1F"/>
    <w:rsid w:val="004C2B84"/>
    <w:rsid w:val="004C3414"/>
    <w:rsid w:val="004C3DE6"/>
    <w:rsid w:val="004C61B8"/>
    <w:rsid w:val="004C743E"/>
    <w:rsid w:val="004D3DB4"/>
    <w:rsid w:val="004D3F9A"/>
    <w:rsid w:val="004D71A4"/>
    <w:rsid w:val="004D7BEA"/>
    <w:rsid w:val="004E2452"/>
    <w:rsid w:val="004E2B19"/>
    <w:rsid w:val="004E2CE4"/>
    <w:rsid w:val="004E4B0A"/>
    <w:rsid w:val="004E4E8A"/>
    <w:rsid w:val="004E5FAF"/>
    <w:rsid w:val="004E7572"/>
    <w:rsid w:val="004F11C2"/>
    <w:rsid w:val="004F1823"/>
    <w:rsid w:val="004F1A64"/>
    <w:rsid w:val="004F27E0"/>
    <w:rsid w:val="004F3198"/>
    <w:rsid w:val="004F368F"/>
    <w:rsid w:val="004F575C"/>
    <w:rsid w:val="004F65FC"/>
    <w:rsid w:val="00500371"/>
    <w:rsid w:val="005038A8"/>
    <w:rsid w:val="00503BA6"/>
    <w:rsid w:val="00504499"/>
    <w:rsid w:val="00504E91"/>
    <w:rsid w:val="0050568B"/>
    <w:rsid w:val="005061E2"/>
    <w:rsid w:val="00506D5D"/>
    <w:rsid w:val="00510F3D"/>
    <w:rsid w:val="005110A5"/>
    <w:rsid w:val="00511B1B"/>
    <w:rsid w:val="005128FC"/>
    <w:rsid w:val="0051294B"/>
    <w:rsid w:val="005131A9"/>
    <w:rsid w:val="0051364E"/>
    <w:rsid w:val="00513A32"/>
    <w:rsid w:val="00514553"/>
    <w:rsid w:val="00515371"/>
    <w:rsid w:val="00515F88"/>
    <w:rsid w:val="00516F2C"/>
    <w:rsid w:val="00520602"/>
    <w:rsid w:val="00521612"/>
    <w:rsid w:val="005221CF"/>
    <w:rsid w:val="005228D7"/>
    <w:rsid w:val="005228F0"/>
    <w:rsid w:val="00522FE1"/>
    <w:rsid w:val="0052335E"/>
    <w:rsid w:val="00523858"/>
    <w:rsid w:val="00526386"/>
    <w:rsid w:val="005276D8"/>
    <w:rsid w:val="00527832"/>
    <w:rsid w:val="005300AB"/>
    <w:rsid w:val="005303CD"/>
    <w:rsid w:val="005310A6"/>
    <w:rsid w:val="00531494"/>
    <w:rsid w:val="00532713"/>
    <w:rsid w:val="005339EB"/>
    <w:rsid w:val="00534531"/>
    <w:rsid w:val="005365B0"/>
    <w:rsid w:val="005369D8"/>
    <w:rsid w:val="00536E52"/>
    <w:rsid w:val="0054014B"/>
    <w:rsid w:val="00540950"/>
    <w:rsid w:val="0054207E"/>
    <w:rsid w:val="00542A9A"/>
    <w:rsid w:val="005448F4"/>
    <w:rsid w:val="00545158"/>
    <w:rsid w:val="00545B73"/>
    <w:rsid w:val="00546793"/>
    <w:rsid w:val="0054795A"/>
    <w:rsid w:val="00550814"/>
    <w:rsid w:val="00550E5D"/>
    <w:rsid w:val="005513FE"/>
    <w:rsid w:val="00551A58"/>
    <w:rsid w:val="00552084"/>
    <w:rsid w:val="00554D5B"/>
    <w:rsid w:val="0055678E"/>
    <w:rsid w:val="00557543"/>
    <w:rsid w:val="005575D3"/>
    <w:rsid w:val="005601DB"/>
    <w:rsid w:val="00561D05"/>
    <w:rsid w:val="005634F5"/>
    <w:rsid w:val="005635CD"/>
    <w:rsid w:val="0056363A"/>
    <w:rsid w:val="00563DB4"/>
    <w:rsid w:val="005646F2"/>
    <w:rsid w:val="005653BD"/>
    <w:rsid w:val="005654B2"/>
    <w:rsid w:val="005657D2"/>
    <w:rsid w:val="00565DCB"/>
    <w:rsid w:val="00566136"/>
    <w:rsid w:val="0056665C"/>
    <w:rsid w:val="0057002C"/>
    <w:rsid w:val="0057136F"/>
    <w:rsid w:val="0057238D"/>
    <w:rsid w:val="00572C98"/>
    <w:rsid w:val="00573D0E"/>
    <w:rsid w:val="00574FCB"/>
    <w:rsid w:val="00575808"/>
    <w:rsid w:val="0058068F"/>
    <w:rsid w:val="00581957"/>
    <w:rsid w:val="0058282E"/>
    <w:rsid w:val="00583841"/>
    <w:rsid w:val="00583DAA"/>
    <w:rsid w:val="00584BD5"/>
    <w:rsid w:val="00585A0D"/>
    <w:rsid w:val="00586057"/>
    <w:rsid w:val="00586895"/>
    <w:rsid w:val="00586C23"/>
    <w:rsid w:val="00587876"/>
    <w:rsid w:val="00587CA4"/>
    <w:rsid w:val="00590351"/>
    <w:rsid w:val="00591871"/>
    <w:rsid w:val="00592010"/>
    <w:rsid w:val="00592962"/>
    <w:rsid w:val="00592F47"/>
    <w:rsid w:val="00595FD0"/>
    <w:rsid w:val="00597107"/>
    <w:rsid w:val="0059767A"/>
    <w:rsid w:val="005A1002"/>
    <w:rsid w:val="005A120F"/>
    <w:rsid w:val="005A1822"/>
    <w:rsid w:val="005A232A"/>
    <w:rsid w:val="005A2510"/>
    <w:rsid w:val="005A256A"/>
    <w:rsid w:val="005A3FA5"/>
    <w:rsid w:val="005A4767"/>
    <w:rsid w:val="005A4CA4"/>
    <w:rsid w:val="005A4DCD"/>
    <w:rsid w:val="005A4F2E"/>
    <w:rsid w:val="005A5081"/>
    <w:rsid w:val="005A69B2"/>
    <w:rsid w:val="005A79A1"/>
    <w:rsid w:val="005B0D94"/>
    <w:rsid w:val="005B2C0C"/>
    <w:rsid w:val="005B58B0"/>
    <w:rsid w:val="005B59A0"/>
    <w:rsid w:val="005B7A99"/>
    <w:rsid w:val="005C008E"/>
    <w:rsid w:val="005C083F"/>
    <w:rsid w:val="005C12C5"/>
    <w:rsid w:val="005C38BD"/>
    <w:rsid w:val="005C3C22"/>
    <w:rsid w:val="005C3D1C"/>
    <w:rsid w:val="005C460D"/>
    <w:rsid w:val="005C54B9"/>
    <w:rsid w:val="005C557C"/>
    <w:rsid w:val="005C6810"/>
    <w:rsid w:val="005D118C"/>
    <w:rsid w:val="005D21FA"/>
    <w:rsid w:val="005D463A"/>
    <w:rsid w:val="005D4D0D"/>
    <w:rsid w:val="005D524C"/>
    <w:rsid w:val="005D7F11"/>
    <w:rsid w:val="005E0921"/>
    <w:rsid w:val="005E0AAB"/>
    <w:rsid w:val="005E16E4"/>
    <w:rsid w:val="005E23B0"/>
    <w:rsid w:val="005E3339"/>
    <w:rsid w:val="005E4775"/>
    <w:rsid w:val="005E4B60"/>
    <w:rsid w:val="005E5144"/>
    <w:rsid w:val="005E5461"/>
    <w:rsid w:val="005E6FF2"/>
    <w:rsid w:val="005E71B5"/>
    <w:rsid w:val="005E7D01"/>
    <w:rsid w:val="005F1A1A"/>
    <w:rsid w:val="005F31A3"/>
    <w:rsid w:val="005F4EA1"/>
    <w:rsid w:val="005F7365"/>
    <w:rsid w:val="00600BDF"/>
    <w:rsid w:val="0060117D"/>
    <w:rsid w:val="00601B01"/>
    <w:rsid w:val="00601CDD"/>
    <w:rsid w:val="00602909"/>
    <w:rsid w:val="006050D7"/>
    <w:rsid w:val="00605168"/>
    <w:rsid w:val="006055B7"/>
    <w:rsid w:val="00605DF5"/>
    <w:rsid w:val="00606768"/>
    <w:rsid w:val="00612785"/>
    <w:rsid w:val="00613B87"/>
    <w:rsid w:val="00613C22"/>
    <w:rsid w:val="006146F3"/>
    <w:rsid w:val="006165B1"/>
    <w:rsid w:val="006168D3"/>
    <w:rsid w:val="0061702C"/>
    <w:rsid w:val="0061797B"/>
    <w:rsid w:val="006201D4"/>
    <w:rsid w:val="00623DB9"/>
    <w:rsid w:val="00624C22"/>
    <w:rsid w:val="00625D32"/>
    <w:rsid w:val="0063146F"/>
    <w:rsid w:val="006319AC"/>
    <w:rsid w:val="00634190"/>
    <w:rsid w:val="00634BD9"/>
    <w:rsid w:val="00635088"/>
    <w:rsid w:val="0063656B"/>
    <w:rsid w:val="006368BF"/>
    <w:rsid w:val="00637FCA"/>
    <w:rsid w:val="00640326"/>
    <w:rsid w:val="0064047B"/>
    <w:rsid w:val="006421EA"/>
    <w:rsid w:val="00642E83"/>
    <w:rsid w:val="0064346E"/>
    <w:rsid w:val="006449C1"/>
    <w:rsid w:val="00644FD5"/>
    <w:rsid w:val="00645488"/>
    <w:rsid w:val="006460F8"/>
    <w:rsid w:val="00646544"/>
    <w:rsid w:val="006531F9"/>
    <w:rsid w:val="00653E30"/>
    <w:rsid w:val="00653FBA"/>
    <w:rsid w:val="0065549F"/>
    <w:rsid w:val="0065628B"/>
    <w:rsid w:val="0065667F"/>
    <w:rsid w:val="00656D54"/>
    <w:rsid w:val="00657BE9"/>
    <w:rsid w:val="006615FA"/>
    <w:rsid w:val="00661759"/>
    <w:rsid w:val="006619ED"/>
    <w:rsid w:val="00662977"/>
    <w:rsid w:val="00662CC0"/>
    <w:rsid w:val="006651CE"/>
    <w:rsid w:val="006661C0"/>
    <w:rsid w:val="00666ECE"/>
    <w:rsid w:val="00667908"/>
    <w:rsid w:val="00667ABF"/>
    <w:rsid w:val="00667D72"/>
    <w:rsid w:val="00670A38"/>
    <w:rsid w:val="00671173"/>
    <w:rsid w:val="00674D0F"/>
    <w:rsid w:val="00675322"/>
    <w:rsid w:val="00675840"/>
    <w:rsid w:val="00676509"/>
    <w:rsid w:val="006803D8"/>
    <w:rsid w:val="00684A95"/>
    <w:rsid w:val="00684AC8"/>
    <w:rsid w:val="00684E5C"/>
    <w:rsid w:val="0068583A"/>
    <w:rsid w:val="0068606A"/>
    <w:rsid w:val="0068635B"/>
    <w:rsid w:val="00686722"/>
    <w:rsid w:val="00687E92"/>
    <w:rsid w:val="00691200"/>
    <w:rsid w:val="00691A06"/>
    <w:rsid w:val="00691B57"/>
    <w:rsid w:val="00692C20"/>
    <w:rsid w:val="00693A17"/>
    <w:rsid w:val="0069564B"/>
    <w:rsid w:val="006956B9"/>
    <w:rsid w:val="00697A96"/>
    <w:rsid w:val="00697E2C"/>
    <w:rsid w:val="006A37FF"/>
    <w:rsid w:val="006A3F6B"/>
    <w:rsid w:val="006A48D0"/>
    <w:rsid w:val="006A5E09"/>
    <w:rsid w:val="006A66EA"/>
    <w:rsid w:val="006A66EE"/>
    <w:rsid w:val="006A6783"/>
    <w:rsid w:val="006A687E"/>
    <w:rsid w:val="006A73ED"/>
    <w:rsid w:val="006B1C1D"/>
    <w:rsid w:val="006B1F1A"/>
    <w:rsid w:val="006B4152"/>
    <w:rsid w:val="006B4EA1"/>
    <w:rsid w:val="006B5227"/>
    <w:rsid w:val="006B6081"/>
    <w:rsid w:val="006B6C9C"/>
    <w:rsid w:val="006B6DF0"/>
    <w:rsid w:val="006B7625"/>
    <w:rsid w:val="006B7AC8"/>
    <w:rsid w:val="006C1A72"/>
    <w:rsid w:val="006C256E"/>
    <w:rsid w:val="006C3A27"/>
    <w:rsid w:val="006C3F71"/>
    <w:rsid w:val="006C4CBC"/>
    <w:rsid w:val="006C598E"/>
    <w:rsid w:val="006C5C45"/>
    <w:rsid w:val="006C65EA"/>
    <w:rsid w:val="006C6619"/>
    <w:rsid w:val="006C7003"/>
    <w:rsid w:val="006C706D"/>
    <w:rsid w:val="006D11AE"/>
    <w:rsid w:val="006D294C"/>
    <w:rsid w:val="006D2FD3"/>
    <w:rsid w:val="006D351A"/>
    <w:rsid w:val="006D414B"/>
    <w:rsid w:val="006D4324"/>
    <w:rsid w:val="006D4BC5"/>
    <w:rsid w:val="006D5B56"/>
    <w:rsid w:val="006D6044"/>
    <w:rsid w:val="006D6F5B"/>
    <w:rsid w:val="006E0332"/>
    <w:rsid w:val="006E0573"/>
    <w:rsid w:val="006E0C12"/>
    <w:rsid w:val="006E2F0A"/>
    <w:rsid w:val="006E519A"/>
    <w:rsid w:val="006E5224"/>
    <w:rsid w:val="006E5D7B"/>
    <w:rsid w:val="006E7188"/>
    <w:rsid w:val="006F16A7"/>
    <w:rsid w:val="006F25F6"/>
    <w:rsid w:val="006F32AE"/>
    <w:rsid w:val="006F4C05"/>
    <w:rsid w:val="006F4EAC"/>
    <w:rsid w:val="006F513A"/>
    <w:rsid w:val="006F5972"/>
    <w:rsid w:val="006F6209"/>
    <w:rsid w:val="006F669F"/>
    <w:rsid w:val="006F6B43"/>
    <w:rsid w:val="006F7A8A"/>
    <w:rsid w:val="006F7BA9"/>
    <w:rsid w:val="00704285"/>
    <w:rsid w:val="007044D9"/>
    <w:rsid w:val="0070663D"/>
    <w:rsid w:val="00707B05"/>
    <w:rsid w:val="00710FE6"/>
    <w:rsid w:val="00712069"/>
    <w:rsid w:val="00712657"/>
    <w:rsid w:val="00716386"/>
    <w:rsid w:val="00717A70"/>
    <w:rsid w:val="0072191B"/>
    <w:rsid w:val="00723612"/>
    <w:rsid w:val="00724058"/>
    <w:rsid w:val="00725323"/>
    <w:rsid w:val="00727A35"/>
    <w:rsid w:val="00730277"/>
    <w:rsid w:val="007303B6"/>
    <w:rsid w:val="007323BE"/>
    <w:rsid w:val="00733BF8"/>
    <w:rsid w:val="00733F1E"/>
    <w:rsid w:val="00733FC4"/>
    <w:rsid w:val="00734BB9"/>
    <w:rsid w:val="00734DCD"/>
    <w:rsid w:val="0073583D"/>
    <w:rsid w:val="00735A6B"/>
    <w:rsid w:val="00735A8A"/>
    <w:rsid w:val="007362DB"/>
    <w:rsid w:val="007375B9"/>
    <w:rsid w:val="00737A2B"/>
    <w:rsid w:val="00737BFF"/>
    <w:rsid w:val="007402DC"/>
    <w:rsid w:val="00742C7C"/>
    <w:rsid w:val="00744783"/>
    <w:rsid w:val="007447A6"/>
    <w:rsid w:val="00744DF9"/>
    <w:rsid w:val="00746551"/>
    <w:rsid w:val="007476BB"/>
    <w:rsid w:val="00750260"/>
    <w:rsid w:val="00753A41"/>
    <w:rsid w:val="0075529C"/>
    <w:rsid w:val="00757AE1"/>
    <w:rsid w:val="00757B7F"/>
    <w:rsid w:val="0076087C"/>
    <w:rsid w:val="00760C08"/>
    <w:rsid w:val="00761ADD"/>
    <w:rsid w:val="007628B6"/>
    <w:rsid w:val="007630BE"/>
    <w:rsid w:val="00765AC4"/>
    <w:rsid w:val="00765C9E"/>
    <w:rsid w:val="007705C6"/>
    <w:rsid w:val="007730A5"/>
    <w:rsid w:val="0077513A"/>
    <w:rsid w:val="00775B6A"/>
    <w:rsid w:val="007772DD"/>
    <w:rsid w:val="00777AAF"/>
    <w:rsid w:val="00780D79"/>
    <w:rsid w:val="0078131C"/>
    <w:rsid w:val="00781DB3"/>
    <w:rsid w:val="00782E01"/>
    <w:rsid w:val="00783A31"/>
    <w:rsid w:val="00784575"/>
    <w:rsid w:val="00784DC3"/>
    <w:rsid w:val="00784F40"/>
    <w:rsid w:val="00785D4C"/>
    <w:rsid w:val="00785DD2"/>
    <w:rsid w:val="00786CB1"/>
    <w:rsid w:val="00787AB8"/>
    <w:rsid w:val="00790036"/>
    <w:rsid w:val="00791725"/>
    <w:rsid w:val="007918A9"/>
    <w:rsid w:val="007924CE"/>
    <w:rsid w:val="007934A1"/>
    <w:rsid w:val="00793580"/>
    <w:rsid w:val="007940AB"/>
    <w:rsid w:val="00794984"/>
    <w:rsid w:val="00795363"/>
    <w:rsid w:val="0079559B"/>
    <w:rsid w:val="00797306"/>
    <w:rsid w:val="00797EC6"/>
    <w:rsid w:val="007A43E4"/>
    <w:rsid w:val="007B0302"/>
    <w:rsid w:val="007B0513"/>
    <w:rsid w:val="007B05CF"/>
    <w:rsid w:val="007B1C5E"/>
    <w:rsid w:val="007B401F"/>
    <w:rsid w:val="007B47C8"/>
    <w:rsid w:val="007B6C98"/>
    <w:rsid w:val="007B6D84"/>
    <w:rsid w:val="007B715C"/>
    <w:rsid w:val="007B743A"/>
    <w:rsid w:val="007C02D0"/>
    <w:rsid w:val="007C1DF0"/>
    <w:rsid w:val="007C231B"/>
    <w:rsid w:val="007C2976"/>
    <w:rsid w:val="007C2D5D"/>
    <w:rsid w:val="007C311B"/>
    <w:rsid w:val="007C38E7"/>
    <w:rsid w:val="007C4987"/>
    <w:rsid w:val="007C4E34"/>
    <w:rsid w:val="007C7A93"/>
    <w:rsid w:val="007C7E4C"/>
    <w:rsid w:val="007D0A9C"/>
    <w:rsid w:val="007D0D39"/>
    <w:rsid w:val="007D1EAD"/>
    <w:rsid w:val="007D1FB8"/>
    <w:rsid w:val="007D396A"/>
    <w:rsid w:val="007D3C1B"/>
    <w:rsid w:val="007D53E3"/>
    <w:rsid w:val="007D70AD"/>
    <w:rsid w:val="007D711A"/>
    <w:rsid w:val="007D7922"/>
    <w:rsid w:val="007E2374"/>
    <w:rsid w:val="007E2E9D"/>
    <w:rsid w:val="007E44C4"/>
    <w:rsid w:val="007E470A"/>
    <w:rsid w:val="007E51D2"/>
    <w:rsid w:val="007E565B"/>
    <w:rsid w:val="007E648C"/>
    <w:rsid w:val="007E6A48"/>
    <w:rsid w:val="007E7910"/>
    <w:rsid w:val="007E7D82"/>
    <w:rsid w:val="007F0E0D"/>
    <w:rsid w:val="007F2BF4"/>
    <w:rsid w:val="007F7AB4"/>
    <w:rsid w:val="00800532"/>
    <w:rsid w:val="008012AB"/>
    <w:rsid w:val="00803C38"/>
    <w:rsid w:val="008054D0"/>
    <w:rsid w:val="008072EC"/>
    <w:rsid w:val="0081221A"/>
    <w:rsid w:val="00812F62"/>
    <w:rsid w:val="0081397A"/>
    <w:rsid w:val="00814EE1"/>
    <w:rsid w:val="00821D9C"/>
    <w:rsid w:val="008223C2"/>
    <w:rsid w:val="008224CF"/>
    <w:rsid w:val="0082306A"/>
    <w:rsid w:val="00823A4D"/>
    <w:rsid w:val="00824B20"/>
    <w:rsid w:val="008252A1"/>
    <w:rsid w:val="008255A6"/>
    <w:rsid w:val="0082587C"/>
    <w:rsid w:val="00825C1B"/>
    <w:rsid w:val="0082644D"/>
    <w:rsid w:val="0082667C"/>
    <w:rsid w:val="00826CB8"/>
    <w:rsid w:val="00826F3B"/>
    <w:rsid w:val="008273A4"/>
    <w:rsid w:val="008306D4"/>
    <w:rsid w:val="0083149C"/>
    <w:rsid w:val="00831943"/>
    <w:rsid w:val="00831E50"/>
    <w:rsid w:val="008320CC"/>
    <w:rsid w:val="008323BE"/>
    <w:rsid w:val="00834C82"/>
    <w:rsid w:val="00834ED3"/>
    <w:rsid w:val="0083639C"/>
    <w:rsid w:val="008376D3"/>
    <w:rsid w:val="0084134B"/>
    <w:rsid w:val="00841AA2"/>
    <w:rsid w:val="00842784"/>
    <w:rsid w:val="00844234"/>
    <w:rsid w:val="00844EBD"/>
    <w:rsid w:val="00845ADE"/>
    <w:rsid w:val="00846F14"/>
    <w:rsid w:val="00846FF8"/>
    <w:rsid w:val="0084705D"/>
    <w:rsid w:val="008471DF"/>
    <w:rsid w:val="008476EC"/>
    <w:rsid w:val="008501ED"/>
    <w:rsid w:val="00851DFF"/>
    <w:rsid w:val="00852460"/>
    <w:rsid w:val="00852B55"/>
    <w:rsid w:val="00852C1E"/>
    <w:rsid w:val="00853574"/>
    <w:rsid w:val="00853654"/>
    <w:rsid w:val="00854E06"/>
    <w:rsid w:val="00857846"/>
    <w:rsid w:val="008614A1"/>
    <w:rsid w:val="008617F3"/>
    <w:rsid w:val="00861FB3"/>
    <w:rsid w:val="0086292D"/>
    <w:rsid w:val="00862BEA"/>
    <w:rsid w:val="00862FB9"/>
    <w:rsid w:val="008648E5"/>
    <w:rsid w:val="00865A5B"/>
    <w:rsid w:val="00865FDE"/>
    <w:rsid w:val="00866119"/>
    <w:rsid w:val="00866B5B"/>
    <w:rsid w:val="00866CD9"/>
    <w:rsid w:val="00866E64"/>
    <w:rsid w:val="008673D9"/>
    <w:rsid w:val="00867B9F"/>
    <w:rsid w:val="00872660"/>
    <w:rsid w:val="008738B9"/>
    <w:rsid w:val="00873CA5"/>
    <w:rsid w:val="00873E83"/>
    <w:rsid w:val="00873F75"/>
    <w:rsid w:val="00874363"/>
    <w:rsid w:val="0087588A"/>
    <w:rsid w:val="008762EF"/>
    <w:rsid w:val="0087736D"/>
    <w:rsid w:val="008775F3"/>
    <w:rsid w:val="00877648"/>
    <w:rsid w:val="00880A5E"/>
    <w:rsid w:val="008838AC"/>
    <w:rsid w:val="008840F8"/>
    <w:rsid w:val="00885700"/>
    <w:rsid w:val="008858A8"/>
    <w:rsid w:val="00885B33"/>
    <w:rsid w:val="00885F09"/>
    <w:rsid w:val="008900AD"/>
    <w:rsid w:val="008900C6"/>
    <w:rsid w:val="00890300"/>
    <w:rsid w:val="0089078B"/>
    <w:rsid w:val="008908E7"/>
    <w:rsid w:val="00890C2A"/>
    <w:rsid w:val="00890E9F"/>
    <w:rsid w:val="00890F0E"/>
    <w:rsid w:val="00891753"/>
    <w:rsid w:val="00891914"/>
    <w:rsid w:val="00892578"/>
    <w:rsid w:val="00896B6C"/>
    <w:rsid w:val="008A027C"/>
    <w:rsid w:val="008A1553"/>
    <w:rsid w:val="008A1910"/>
    <w:rsid w:val="008A2422"/>
    <w:rsid w:val="008A3BD2"/>
    <w:rsid w:val="008A5996"/>
    <w:rsid w:val="008A6512"/>
    <w:rsid w:val="008A6A99"/>
    <w:rsid w:val="008A7EB5"/>
    <w:rsid w:val="008B4157"/>
    <w:rsid w:val="008B42C8"/>
    <w:rsid w:val="008B6C68"/>
    <w:rsid w:val="008B774D"/>
    <w:rsid w:val="008C0AF1"/>
    <w:rsid w:val="008C1208"/>
    <w:rsid w:val="008C4ACC"/>
    <w:rsid w:val="008C672F"/>
    <w:rsid w:val="008C70C1"/>
    <w:rsid w:val="008C7A1A"/>
    <w:rsid w:val="008D0126"/>
    <w:rsid w:val="008D16AD"/>
    <w:rsid w:val="008D638A"/>
    <w:rsid w:val="008D6530"/>
    <w:rsid w:val="008D67C7"/>
    <w:rsid w:val="008D6DCF"/>
    <w:rsid w:val="008D6EA6"/>
    <w:rsid w:val="008D7771"/>
    <w:rsid w:val="008D7A8C"/>
    <w:rsid w:val="008D7BAC"/>
    <w:rsid w:val="008E19B7"/>
    <w:rsid w:val="008E1B44"/>
    <w:rsid w:val="008E222C"/>
    <w:rsid w:val="008E2524"/>
    <w:rsid w:val="008E2E48"/>
    <w:rsid w:val="008E4902"/>
    <w:rsid w:val="008E6F76"/>
    <w:rsid w:val="008E7809"/>
    <w:rsid w:val="008F0522"/>
    <w:rsid w:val="008F06C8"/>
    <w:rsid w:val="008F102E"/>
    <w:rsid w:val="008F4BCF"/>
    <w:rsid w:val="008F64BB"/>
    <w:rsid w:val="008F741C"/>
    <w:rsid w:val="008F7CA5"/>
    <w:rsid w:val="00900FEF"/>
    <w:rsid w:val="0090143D"/>
    <w:rsid w:val="00901F60"/>
    <w:rsid w:val="009029CB"/>
    <w:rsid w:val="0090346A"/>
    <w:rsid w:val="00903D72"/>
    <w:rsid w:val="009044CD"/>
    <w:rsid w:val="00904F66"/>
    <w:rsid w:val="0090531C"/>
    <w:rsid w:val="0090645D"/>
    <w:rsid w:val="00906590"/>
    <w:rsid w:val="0090783A"/>
    <w:rsid w:val="00907AAD"/>
    <w:rsid w:val="00907C25"/>
    <w:rsid w:val="00907D0D"/>
    <w:rsid w:val="009102A0"/>
    <w:rsid w:val="00911056"/>
    <w:rsid w:val="00911ECA"/>
    <w:rsid w:val="00912290"/>
    <w:rsid w:val="00913F0D"/>
    <w:rsid w:val="0091404D"/>
    <w:rsid w:val="0091407E"/>
    <w:rsid w:val="009151CD"/>
    <w:rsid w:val="00920260"/>
    <w:rsid w:val="0092086D"/>
    <w:rsid w:val="00920BF0"/>
    <w:rsid w:val="0092235D"/>
    <w:rsid w:val="009226CE"/>
    <w:rsid w:val="00922DD3"/>
    <w:rsid w:val="00923C6F"/>
    <w:rsid w:val="009270DC"/>
    <w:rsid w:val="00927927"/>
    <w:rsid w:val="009303F1"/>
    <w:rsid w:val="00931C92"/>
    <w:rsid w:val="00931ECF"/>
    <w:rsid w:val="00932422"/>
    <w:rsid w:val="00932496"/>
    <w:rsid w:val="0093263D"/>
    <w:rsid w:val="00933203"/>
    <w:rsid w:val="00935B93"/>
    <w:rsid w:val="009368EE"/>
    <w:rsid w:val="009406E5"/>
    <w:rsid w:val="009423C7"/>
    <w:rsid w:val="00942C17"/>
    <w:rsid w:val="00943A6F"/>
    <w:rsid w:val="009445DF"/>
    <w:rsid w:val="00947A19"/>
    <w:rsid w:val="009520DC"/>
    <w:rsid w:val="009522B8"/>
    <w:rsid w:val="009525A7"/>
    <w:rsid w:val="009527CE"/>
    <w:rsid w:val="00953AF2"/>
    <w:rsid w:val="00954D0C"/>
    <w:rsid w:val="00955B99"/>
    <w:rsid w:val="00962A00"/>
    <w:rsid w:val="00962DCB"/>
    <w:rsid w:val="00963B79"/>
    <w:rsid w:val="00963DE5"/>
    <w:rsid w:val="0096473C"/>
    <w:rsid w:val="009649D4"/>
    <w:rsid w:val="00964A81"/>
    <w:rsid w:val="00964EDB"/>
    <w:rsid w:val="00966CBE"/>
    <w:rsid w:val="00966CC8"/>
    <w:rsid w:val="00967016"/>
    <w:rsid w:val="0097064C"/>
    <w:rsid w:val="009721D0"/>
    <w:rsid w:val="00972572"/>
    <w:rsid w:val="0098121C"/>
    <w:rsid w:val="00981288"/>
    <w:rsid w:val="009820E4"/>
    <w:rsid w:val="00982823"/>
    <w:rsid w:val="00983495"/>
    <w:rsid w:val="009849AC"/>
    <w:rsid w:val="00984A36"/>
    <w:rsid w:val="00986876"/>
    <w:rsid w:val="00991CA8"/>
    <w:rsid w:val="00993D4F"/>
    <w:rsid w:val="00993F34"/>
    <w:rsid w:val="00996AC2"/>
    <w:rsid w:val="009979F8"/>
    <w:rsid w:val="00997C68"/>
    <w:rsid w:val="00997D45"/>
    <w:rsid w:val="009A0D2D"/>
    <w:rsid w:val="009A2F75"/>
    <w:rsid w:val="009A3847"/>
    <w:rsid w:val="009A441C"/>
    <w:rsid w:val="009A54B4"/>
    <w:rsid w:val="009A6C66"/>
    <w:rsid w:val="009A715F"/>
    <w:rsid w:val="009B15C7"/>
    <w:rsid w:val="009B2B25"/>
    <w:rsid w:val="009B33B1"/>
    <w:rsid w:val="009B3901"/>
    <w:rsid w:val="009B3EE4"/>
    <w:rsid w:val="009B4C54"/>
    <w:rsid w:val="009B4C9E"/>
    <w:rsid w:val="009B6CCA"/>
    <w:rsid w:val="009B7337"/>
    <w:rsid w:val="009B7C46"/>
    <w:rsid w:val="009C010A"/>
    <w:rsid w:val="009C3A3B"/>
    <w:rsid w:val="009C407B"/>
    <w:rsid w:val="009C4C7F"/>
    <w:rsid w:val="009C5F28"/>
    <w:rsid w:val="009D1EA8"/>
    <w:rsid w:val="009D2F78"/>
    <w:rsid w:val="009D396E"/>
    <w:rsid w:val="009D39AE"/>
    <w:rsid w:val="009D47AF"/>
    <w:rsid w:val="009D5B63"/>
    <w:rsid w:val="009D60A0"/>
    <w:rsid w:val="009D610C"/>
    <w:rsid w:val="009D7563"/>
    <w:rsid w:val="009D7C9B"/>
    <w:rsid w:val="009D7D7D"/>
    <w:rsid w:val="009E0D5B"/>
    <w:rsid w:val="009E3881"/>
    <w:rsid w:val="009E5393"/>
    <w:rsid w:val="009E7DCB"/>
    <w:rsid w:val="009F047A"/>
    <w:rsid w:val="009F0E59"/>
    <w:rsid w:val="009F248E"/>
    <w:rsid w:val="009F2BFD"/>
    <w:rsid w:val="009F2EEC"/>
    <w:rsid w:val="009F322D"/>
    <w:rsid w:val="009F436B"/>
    <w:rsid w:val="009F6175"/>
    <w:rsid w:val="009F645A"/>
    <w:rsid w:val="009F6A3D"/>
    <w:rsid w:val="009F75AA"/>
    <w:rsid w:val="009F78A7"/>
    <w:rsid w:val="009F7C16"/>
    <w:rsid w:val="00A007C2"/>
    <w:rsid w:val="00A01BD5"/>
    <w:rsid w:val="00A03A9B"/>
    <w:rsid w:val="00A04446"/>
    <w:rsid w:val="00A04BA9"/>
    <w:rsid w:val="00A04C50"/>
    <w:rsid w:val="00A06138"/>
    <w:rsid w:val="00A07EB2"/>
    <w:rsid w:val="00A1137B"/>
    <w:rsid w:val="00A12F10"/>
    <w:rsid w:val="00A15437"/>
    <w:rsid w:val="00A16931"/>
    <w:rsid w:val="00A21633"/>
    <w:rsid w:val="00A226A7"/>
    <w:rsid w:val="00A22977"/>
    <w:rsid w:val="00A231C4"/>
    <w:rsid w:val="00A249FF"/>
    <w:rsid w:val="00A2609A"/>
    <w:rsid w:val="00A26802"/>
    <w:rsid w:val="00A2770B"/>
    <w:rsid w:val="00A30AED"/>
    <w:rsid w:val="00A31EFE"/>
    <w:rsid w:val="00A33ADB"/>
    <w:rsid w:val="00A3722E"/>
    <w:rsid w:val="00A374E8"/>
    <w:rsid w:val="00A40726"/>
    <w:rsid w:val="00A42A1B"/>
    <w:rsid w:val="00A42BC1"/>
    <w:rsid w:val="00A43781"/>
    <w:rsid w:val="00A43934"/>
    <w:rsid w:val="00A43D1A"/>
    <w:rsid w:val="00A448AD"/>
    <w:rsid w:val="00A44CDD"/>
    <w:rsid w:val="00A46285"/>
    <w:rsid w:val="00A46447"/>
    <w:rsid w:val="00A46E75"/>
    <w:rsid w:val="00A479D1"/>
    <w:rsid w:val="00A5033E"/>
    <w:rsid w:val="00A5037F"/>
    <w:rsid w:val="00A525D0"/>
    <w:rsid w:val="00A53324"/>
    <w:rsid w:val="00A53720"/>
    <w:rsid w:val="00A54E7F"/>
    <w:rsid w:val="00A56F04"/>
    <w:rsid w:val="00A57741"/>
    <w:rsid w:val="00A609C9"/>
    <w:rsid w:val="00A6132C"/>
    <w:rsid w:val="00A61B8B"/>
    <w:rsid w:val="00A621B8"/>
    <w:rsid w:val="00A62274"/>
    <w:rsid w:val="00A62342"/>
    <w:rsid w:val="00A62EB1"/>
    <w:rsid w:val="00A6373A"/>
    <w:rsid w:val="00A6384E"/>
    <w:rsid w:val="00A64C5A"/>
    <w:rsid w:val="00A6546B"/>
    <w:rsid w:val="00A65B65"/>
    <w:rsid w:val="00A66B36"/>
    <w:rsid w:val="00A66C41"/>
    <w:rsid w:val="00A66DAD"/>
    <w:rsid w:val="00A67BC4"/>
    <w:rsid w:val="00A702B8"/>
    <w:rsid w:val="00A713B4"/>
    <w:rsid w:val="00A720FB"/>
    <w:rsid w:val="00A73776"/>
    <w:rsid w:val="00A74695"/>
    <w:rsid w:val="00A766E8"/>
    <w:rsid w:val="00A7778B"/>
    <w:rsid w:val="00A77D6B"/>
    <w:rsid w:val="00A82207"/>
    <w:rsid w:val="00A8287A"/>
    <w:rsid w:val="00A838D9"/>
    <w:rsid w:val="00A83F00"/>
    <w:rsid w:val="00A842D3"/>
    <w:rsid w:val="00A84ADC"/>
    <w:rsid w:val="00A87930"/>
    <w:rsid w:val="00A90173"/>
    <w:rsid w:val="00A9034C"/>
    <w:rsid w:val="00A90D0F"/>
    <w:rsid w:val="00A91DFE"/>
    <w:rsid w:val="00A91E87"/>
    <w:rsid w:val="00A960CF"/>
    <w:rsid w:val="00A97051"/>
    <w:rsid w:val="00A9766F"/>
    <w:rsid w:val="00A9768B"/>
    <w:rsid w:val="00A9793D"/>
    <w:rsid w:val="00AA00BF"/>
    <w:rsid w:val="00AA023C"/>
    <w:rsid w:val="00AA13AC"/>
    <w:rsid w:val="00AA35D1"/>
    <w:rsid w:val="00AA3BD0"/>
    <w:rsid w:val="00AA4169"/>
    <w:rsid w:val="00AA46F0"/>
    <w:rsid w:val="00AA73C6"/>
    <w:rsid w:val="00AB02DA"/>
    <w:rsid w:val="00AB09D9"/>
    <w:rsid w:val="00AB0F7F"/>
    <w:rsid w:val="00AB26CA"/>
    <w:rsid w:val="00AB3BDC"/>
    <w:rsid w:val="00AB3EF7"/>
    <w:rsid w:val="00AB5014"/>
    <w:rsid w:val="00AB5289"/>
    <w:rsid w:val="00AB6596"/>
    <w:rsid w:val="00AC1AF2"/>
    <w:rsid w:val="00AC2229"/>
    <w:rsid w:val="00AC2A72"/>
    <w:rsid w:val="00AC3A57"/>
    <w:rsid w:val="00AC3F72"/>
    <w:rsid w:val="00AC4653"/>
    <w:rsid w:val="00AC5144"/>
    <w:rsid w:val="00AC5CD5"/>
    <w:rsid w:val="00AC722A"/>
    <w:rsid w:val="00AD05F3"/>
    <w:rsid w:val="00AD081F"/>
    <w:rsid w:val="00AD0EED"/>
    <w:rsid w:val="00AD14EC"/>
    <w:rsid w:val="00AD1CFE"/>
    <w:rsid w:val="00AD2339"/>
    <w:rsid w:val="00AD310F"/>
    <w:rsid w:val="00AD40E1"/>
    <w:rsid w:val="00AD4A93"/>
    <w:rsid w:val="00AD65F1"/>
    <w:rsid w:val="00AD6DC4"/>
    <w:rsid w:val="00AD7FBA"/>
    <w:rsid w:val="00AE142F"/>
    <w:rsid w:val="00AE221D"/>
    <w:rsid w:val="00AE2AAD"/>
    <w:rsid w:val="00AE32CE"/>
    <w:rsid w:val="00AE462E"/>
    <w:rsid w:val="00AE4740"/>
    <w:rsid w:val="00AE5281"/>
    <w:rsid w:val="00AE6339"/>
    <w:rsid w:val="00AE6A06"/>
    <w:rsid w:val="00AE6FA4"/>
    <w:rsid w:val="00AE70D0"/>
    <w:rsid w:val="00AE764D"/>
    <w:rsid w:val="00AE7F4C"/>
    <w:rsid w:val="00AF0195"/>
    <w:rsid w:val="00AF2463"/>
    <w:rsid w:val="00AF4042"/>
    <w:rsid w:val="00AF4E2E"/>
    <w:rsid w:val="00AF695F"/>
    <w:rsid w:val="00AF72E1"/>
    <w:rsid w:val="00AF7FB0"/>
    <w:rsid w:val="00B004C3"/>
    <w:rsid w:val="00B011E6"/>
    <w:rsid w:val="00B01429"/>
    <w:rsid w:val="00B0405A"/>
    <w:rsid w:val="00B04EEC"/>
    <w:rsid w:val="00B060C4"/>
    <w:rsid w:val="00B0649F"/>
    <w:rsid w:val="00B07F10"/>
    <w:rsid w:val="00B104B0"/>
    <w:rsid w:val="00B10659"/>
    <w:rsid w:val="00B10F88"/>
    <w:rsid w:val="00B110B1"/>
    <w:rsid w:val="00B116B8"/>
    <w:rsid w:val="00B122CE"/>
    <w:rsid w:val="00B12811"/>
    <w:rsid w:val="00B14374"/>
    <w:rsid w:val="00B1440F"/>
    <w:rsid w:val="00B156D2"/>
    <w:rsid w:val="00B15B5D"/>
    <w:rsid w:val="00B17041"/>
    <w:rsid w:val="00B20774"/>
    <w:rsid w:val="00B21622"/>
    <w:rsid w:val="00B22473"/>
    <w:rsid w:val="00B22DE5"/>
    <w:rsid w:val="00B23A57"/>
    <w:rsid w:val="00B23C60"/>
    <w:rsid w:val="00B25D22"/>
    <w:rsid w:val="00B31571"/>
    <w:rsid w:val="00B31D6E"/>
    <w:rsid w:val="00B32320"/>
    <w:rsid w:val="00B33160"/>
    <w:rsid w:val="00B3410A"/>
    <w:rsid w:val="00B3476B"/>
    <w:rsid w:val="00B366DB"/>
    <w:rsid w:val="00B37248"/>
    <w:rsid w:val="00B375CD"/>
    <w:rsid w:val="00B40852"/>
    <w:rsid w:val="00B41A60"/>
    <w:rsid w:val="00B420A0"/>
    <w:rsid w:val="00B44F9C"/>
    <w:rsid w:val="00B45255"/>
    <w:rsid w:val="00B46993"/>
    <w:rsid w:val="00B51972"/>
    <w:rsid w:val="00B51F9B"/>
    <w:rsid w:val="00B53283"/>
    <w:rsid w:val="00B55E05"/>
    <w:rsid w:val="00B5749B"/>
    <w:rsid w:val="00B57A2B"/>
    <w:rsid w:val="00B600A0"/>
    <w:rsid w:val="00B60E2A"/>
    <w:rsid w:val="00B641FA"/>
    <w:rsid w:val="00B6453F"/>
    <w:rsid w:val="00B646EB"/>
    <w:rsid w:val="00B65DAC"/>
    <w:rsid w:val="00B661AB"/>
    <w:rsid w:val="00B6624A"/>
    <w:rsid w:val="00B666D6"/>
    <w:rsid w:val="00B67C37"/>
    <w:rsid w:val="00B717B6"/>
    <w:rsid w:val="00B725F8"/>
    <w:rsid w:val="00B72CED"/>
    <w:rsid w:val="00B75374"/>
    <w:rsid w:val="00B7613D"/>
    <w:rsid w:val="00B76F75"/>
    <w:rsid w:val="00B80F57"/>
    <w:rsid w:val="00B8287F"/>
    <w:rsid w:val="00B84C75"/>
    <w:rsid w:val="00B85332"/>
    <w:rsid w:val="00B85972"/>
    <w:rsid w:val="00B85BBF"/>
    <w:rsid w:val="00B85CD3"/>
    <w:rsid w:val="00B85D06"/>
    <w:rsid w:val="00B85D21"/>
    <w:rsid w:val="00B87533"/>
    <w:rsid w:val="00B8779F"/>
    <w:rsid w:val="00B87CD7"/>
    <w:rsid w:val="00B9129F"/>
    <w:rsid w:val="00B91335"/>
    <w:rsid w:val="00B92854"/>
    <w:rsid w:val="00BA12CD"/>
    <w:rsid w:val="00BA1496"/>
    <w:rsid w:val="00BA1770"/>
    <w:rsid w:val="00BA1B0D"/>
    <w:rsid w:val="00BA2793"/>
    <w:rsid w:val="00BA3B6A"/>
    <w:rsid w:val="00BA6BEA"/>
    <w:rsid w:val="00BA7A8A"/>
    <w:rsid w:val="00BA7E07"/>
    <w:rsid w:val="00BB0648"/>
    <w:rsid w:val="00BB1B63"/>
    <w:rsid w:val="00BB37DA"/>
    <w:rsid w:val="00BB40CD"/>
    <w:rsid w:val="00BB4174"/>
    <w:rsid w:val="00BB46C0"/>
    <w:rsid w:val="00BB4A44"/>
    <w:rsid w:val="00BB4F0C"/>
    <w:rsid w:val="00BB5A7F"/>
    <w:rsid w:val="00BB6049"/>
    <w:rsid w:val="00BB69A2"/>
    <w:rsid w:val="00BB6A87"/>
    <w:rsid w:val="00BB7913"/>
    <w:rsid w:val="00BC0AF5"/>
    <w:rsid w:val="00BC0E50"/>
    <w:rsid w:val="00BC1378"/>
    <w:rsid w:val="00BC1779"/>
    <w:rsid w:val="00BC35AD"/>
    <w:rsid w:val="00BC3A02"/>
    <w:rsid w:val="00BC49F7"/>
    <w:rsid w:val="00BD05A2"/>
    <w:rsid w:val="00BD12E8"/>
    <w:rsid w:val="00BD17BD"/>
    <w:rsid w:val="00BD1BE6"/>
    <w:rsid w:val="00BD1C07"/>
    <w:rsid w:val="00BD1F7C"/>
    <w:rsid w:val="00BD20FE"/>
    <w:rsid w:val="00BD3CFA"/>
    <w:rsid w:val="00BD48A5"/>
    <w:rsid w:val="00BD6F76"/>
    <w:rsid w:val="00BD77FB"/>
    <w:rsid w:val="00BE06E1"/>
    <w:rsid w:val="00BE137A"/>
    <w:rsid w:val="00BE1BBB"/>
    <w:rsid w:val="00BE1C41"/>
    <w:rsid w:val="00BE2233"/>
    <w:rsid w:val="00BE2FEF"/>
    <w:rsid w:val="00BE39EE"/>
    <w:rsid w:val="00BE5BAD"/>
    <w:rsid w:val="00BE5CF5"/>
    <w:rsid w:val="00BE6271"/>
    <w:rsid w:val="00BE683A"/>
    <w:rsid w:val="00BE6F81"/>
    <w:rsid w:val="00BF37BC"/>
    <w:rsid w:val="00BF3AC2"/>
    <w:rsid w:val="00BF3DFF"/>
    <w:rsid w:val="00BF4816"/>
    <w:rsid w:val="00BF5884"/>
    <w:rsid w:val="00BF74F8"/>
    <w:rsid w:val="00BF784C"/>
    <w:rsid w:val="00C005AF"/>
    <w:rsid w:val="00C0324B"/>
    <w:rsid w:val="00C03F9D"/>
    <w:rsid w:val="00C04467"/>
    <w:rsid w:val="00C05A7F"/>
    <w:rsid w:val="00C05D80"/>
    <w:rsid w:val="00C0782A"/>
    <w:rsid w:val="00C0786D"/>
    <w:rsid w:val="00C07AE1"/>
    <w:rsid w:val="00C07B29"/>
    <w:rsid w:val="00C07E71"/>
    <w:rsid w:val="00C10269"/>
    <w:rsid w:val="00C1242C"/>
    <w:rsid w:val="00C14312"/>
    <w:rsid w:val="00C14A01"/>
    <w:rsid w:val="00C15F63"/>
    <w:rsid w:val="00C17906"/>
    <w:rsid w:val="00C20AF6"/>
    <w:rsid w:val="00C214F4"/>
    <w:rsid w:val="00C219AB"/>
    <w:rsid w:val="00C21EEC"/>
    <w:rsid w:val="00C238FA"/>
    <w:rsid w:val="00C24DBE"/>
    <w:rsid w:val="00C25203"/>
    <w:rsid w:val="00C26E3F"/>
    <w:rsid w:val="00C26E5E"/>
    <w:rsid w:val="00C31C68"/>
    <w:rsid w:val="00C3457A"/>
    <w:rsid w:val="00C362DF"/>
    <w:rsid w:val="00C3650F"/>
    <w:rsid w:val="00C36C1C"/>
    <w:rsid w:val="00C371A1"/>
    <w:rsid w:val="00C422B0"/>
    <w:rsid w:val="00C43FA4"/>
    <w:rsid w:val="00C444DC"/>
    <w:rsid w:val="00C445D9"/>
    <w:rsid w:val="00C4517A"/>
    <w:rsid w:val="00C45B61"/>
    <w:rsid w:val="00C45BCF"/>
    <w:rsid w:val="00C45F2D"/>
    <w:rsid w:val="00C467AA"/>
    <w:rsid w:val="00C47D92"/>
    <w:rsid w:val="00C502E4"/>
    <w:rsid w:val="00C50BEB"/>
    <w:rsid w:val="00C50DA3"/>
    <w:rsid w:val="00C53597"/>
    <w:rsid w:val="00C54660"/>
    <w:rsid w:val="00C55EE1"/>
    <w:rsid w:val="00C55F0E"/>
    <w:rsid w:val="00C56E04"/>
    <w:rsid w:val="00C57ACF"/>
    <w:rsid w:val="00C600CD"/>
    <w:rsid w:val="00C62191"/>
    <w:rsid w:val="00C630E0"/>
    <w:rsid w:val="00C63E05"/>
    <w:rsid w:val="00C64B51"/>
    <w:rsid w:val="00C65147"/>
    <w:rsid w:val="00C65624"/>
    <w:rsid w:val="00C669A1"/>
    <w:rsid w:val="00C704C3"/>
    <w:rsid w:val="00C7068D"/>
    <w:rsid w:val="00C70A58"/>
    <w:rsid w:val="00C70FAB"/>
    <w:rsid w:val="00C72B10"/>
    <w:rsid w:val="00C730A3"/>
    <w:rsid w:val="00C74C39"/>
    <w:rsid w:val="00C74F7F"/>
    <w:rsid w:val="00C809F5"/>
    <w:rsid w:val="00C80B05"/>
    <w:rsid w:val="00C819A2"/>
    <w:rsid w:val="00C81F2D"/>
    <w:rsid w:val="00C8272E"/>
    <w:rsid w:val="00C82958"/>
    <w:rsid w:val="00C82FB8"/>
    <w:rsid w:val="00C8377E"/>
    <w:rsid w:val="00C85CEF"/>
    <w:rsid w:val="00C86080"/>
    <w:rsid w:val="00C906CA"/>
    <w:rsid w:val="00C90DCC"/>
    <w:rsid w:val="00C927C0"/>
    <w:rsid w:val="00C92B55"/>
    <w:rsid w:val="00C93368"/>
    <w:rsid w:val="00C94561"/>
    <w:rsid w:val="00C96514"/>
    <w:rsid w:val="00C969EE"/>
    <w:rsid w:val="00C9720C"/>
    <w:rsid w:val="00CA02D6"/>
    <w:rsid w:val="00CA454D"/>
    <w:rsid w:val="00CA5EFC"/>
    <w:rsid w:val="00CA6365"/>
    <w:rsid w:val="00CA658A"/>
    <w:rsid w:val="00CA69F4"/>
    <w:rsid w:val="00CA6BE5"/>
    <w:rsid w:val="00CA78F4"/>
    <w:rsid w:val="00CB0A58"/>
    <w:rsid w:val="00CB0E8C"/>
    <w:rsid w:val="00CB20B9"/>
    <w:rsid w:val="00CB3486"/>
    <w:rsid w:val="00CB3DC8"/>
    <w:rsid w:val="00CB4A2E"/>
    <w:rsid w:val="00CB4B5D"/>
    <w:rsid w:val="00CB55C2"/>
    <w:rsid w:val="00CB6BAF"/>
    <w:rsid w:val="00CB776A"/>
    <w:rsid w:val="00CC0A47"/>
    <w:rsid w:val="00CC2850"/>
    <w:rsid w:val="00CC3BBB"/>
    <w:rsid w:val="00CC3E75"/>
    <w:rsid w:val="00CC451F"/>
    <w:rsid w:val="00CC5A7D"/>
    <w:rsid w:val="00CC616C"/>
    <w:rsid w:val="00CC66DD"/>
    <w:rsid w:val="00CC6A21"/>
    <w:rsid w:val="00CC726F"/>
    <w:rsid w:val="00CD03A7"/>
    <w:rsid w:val="00CD074F"/>
    <w:rsid w:val="00CD0D2C"/>
    <w:rsid w:val="00CD20D4"/>
    <w:rsid w:val="00CD510D"/>
    <w:rsid w:val="00CD6021"/>
    <w:rsid w:val="00CD69F4"/>
    <w:rsid w:val="00CD7CE8"/>
    <w:rsid w:val="00CD7D60"/>
    <w:rsid w:val="00CE00DA"/>
    <w:rsid w:val="00CE0EF6"/>
    <w:rsid w:val="00CE0FA2"/>
    <w:rsid w:val="00CE1EF9"/>
    <w:rsid w:val="00CE2851"/>
    <w:rsid w:val="00CE28B8"/>
    <w:rsid w:val="00CE3429"/>
    <w:rsid w:val="00CE486C"/>
    <w:rsid w:val="00CE5544"/>
    <w:rsid w:val="00CE7876"/>
    <w:rsid w:val="00CF0BE3"/>
    <w:rsid w:val="00CF1D46"/>
    <w:rsid w:val="00CF1EE0"/>
    <w:rsid w:val="00CF2F46"/>
    <w:rsid w:val="00CF51E9"/>
    <w:rsid w:val="00CF5EBD"/>
    <w:rsid w:val="00D0002C"/>
    <w:rsid w:val="00D0066D"/>
    <w:rsid w:val="00D01D6D"/>
    <w:rsid w:val="00D02910"/>
    <w:rsid w:val="00D0363C"/>
    <w:rsid w:val="00D041BE"/>
    <w:rsid w:val="00D04E22"/>
    <w:rsid w:val="00D06407"/>
    <w:rsid w:val="00D06FD0"/>
    <w:rsid w:val="00D07186"/>
    <w:rsid w:val="00D111CF"/>
    <w:rsid w:val="00D1125D"/>
    <w:rsid w:val="00D121C9"/>
    <w:rsid w:val="00D12C08"/>
    <w:rsid w:val="00D1327E"/>
    <w:rsid w:val="00D13A1A"/>
    <w:rsid w:val="00D14409"/>
    <w:rsid w:val="00D144F7"/>
    <w:rsid w:val="00D14631"/>
    <w:rsid w:val="00D14689"/>
    <w:rsid w:val="00D16F43"/>
    <w:rsid w:val="00D20841"/>
    <w:rsid w:val="00D20A84"/>
    <w:rsid w:val="00D20B78"/>
    <w:rsid w:val="00D20DC8"/>
    <w:rsid w:val="00D21198"/>
    <w:rsid w:val="00D213CC"/>
    <w:rsid w:val="00D2586E"/>
    <w:rsid w:val="00D25D1F"/>
    <w:rsid w:val="00D264F1"/>
    <w:rsid w:val="00D26B18"/>
    <w:rsid w:val="00D26C3D"/>
    <w:rsid w:val="00D27110"/>
    <w:rsid w:val="00D27853"/>
    <w:rsid w:val="00D27A5C"/>
    <w:rsid w:val="00D27CCC"/>
    <w:rsid w:val="00D30DDC"/>
    <w:rsid w:val="00D32B71"/>
    <w:rsid w:val="00D32D2A"/>
    <w:rsid w:val="00D3369D"/>
    <w:rsid w:val="00D35132"/>
    <w:rsid w:val="00D356D1"/>
    <w:rsid w:val="00D361C9"/>
    <w:rsid w:val="00D3767F"/>
    <w:rsid w:val="00D37732"/>
    <w:rsid w:val="00D40A4B"/>
    <w:rsid w:val="00D41EA0"/>
    <w:rsid w:val="00D43FE4"/>
    <w:rsid w:val="00D44C38"/>
    <w:rsid w:val="00D45A75"/>
    <w:rsid w:val="00D45BE7"/>
    <w:rsid w:val="00D46FBB"/>
    <w:rsid w:val="00D50E47"/>
    <w:rsid w:val="00D522E6"/>
    <w:rsid w:val="00D52F7D"/>
    <w:rsid w:val="00D540E8"/>
    <w:rsid w:val="00D546A7"/>
    <w:rsid w:val="00D54DB9"/>
    <w:rsid w:val="00D54DDA"/>
    <w:rsid w:val="00D55389"/>
    <w:rsid w:val="00D561A4"/>
    <w:rsid w:val="00D57784"/>
    <w:rsid w:val="00D57E13"/>
    <w:rsid w:val="00D635BE"/>
    <w:rsid w:val="00D63875"/>
    <w:rsid w:val="00D66132"/>
    <w:rsid w:val="00D66481"/>
    <w:rsid w:val="00D670FB"/>
    <w:rsid w:val="00D72991"/>
    <w:rsid w:val="00D72AC9"/>
    <w:rsid w:val="00D76ECA"/>
    <w:rsid w:val="00D779E8"/>
    <w:rsid w:val="00D800C7"/>
    <w:rsid w:val="00D800E4"/>
    <w:rsid w:val="00D82565"/>
    <w:rsid w:val="00D83596"/>
    <w:rsid w:val="00D837BD"/>
    <w:rsid w:val="00D856BB"/>
    <w:rsid w:val="00D873DC"/>
    <w:rsid w:val="00D8757B"/>
    <w:rsid w:val="00D9017D"/>
    <w:rsid w:val="00D91D4E"/>
    <w:rsid w:val="00D91E23"/>
    <w:rsid w:val="00D91FA2"/>
    <w:rsid w:val="00D920EF"/>
    <w:rsid w:val="00D92F63"/>
    <w:rsid w:val="00D934DE"/>
    <w:rsid w:val="00D93FEE"/>
    <w:rsid w:val="00D9520B"/>
    <w:rsid w:val="00D95A96"/>
    <w:rsid w:val="00D960D0"/>
    <w:rsid w:val="00D96FC2"/>
    <w:rsid w:val="00D979C6"/>
    <w:rsid w:val="00DA0F12"/>
    <w:rsid w:val="00DA2409"/>
    <w:rsid w:val="00DA2FFE"/>
    <w:rsid w:val="00DA4326"/>
    <w:rsid w:val="00DA55CC"/>
    <w:rsid w:val="00DA676B"/>
    <w:rsid w:val="00DB1931"/>
    <w:rsid w:val="00DB1E39"/>
    <w:rsid w:val="00DB38BE"/>
    <w:rsid w:val="00DB3AE1"/>
    <w:rsid w:val="00DB5938"/>
    <w:rsid w:val="00DB61F5"/>
    <w:rsid w:val="00DB79F7"/>
    <w:rsid w:val="00DB7C7B"/>
    <w:rsid w:val="00DC3AAA"/>
    <w:rsid w:val="00DC5D6F"/>
    <w:rsid w:val="00DC6531"/>
    <w:rsid w:val="00DC7609"/>
    <w:rsid w:val="00DD03BF"/>
    <w:rsid w:val="00DD05E9"/>
    <w:rsid w:val="00DD0782"/>
    <w:rsid w:val="00DD18AC"/>
    <w:rsid w:val="00DD1A37"/>
    <w:rsid w:val="00DD20AF"/>
    <w:rsid w:val="00DD2221"/>
    <w:rsid w:val="00DD57ED"/>
    <w:rsid w:val="00DE02CA"/>
    <w:rsid w:val="00DE08C1"/>
    <w:rsid w:val="00DE0F77"/>
    <w:rsid w:val="00DE1A2E"/>
    <w:rsid w:val="00DE2317"/>
    <w:rsid w:val="00DE2362"/>
    <w:rsid w:val="00DE27D0"/>
    <w:rsid w:val="00DE394A"/>
    <w:rsid w:val="00DE3BA7"/>
    <w:rsid w:val="00DE4144"/>
    <w:rsid w:val="00DE4654"/>
    <w:rsid w:val="00DE49E5"/>
    <w:rsid w:val="00DE4C03"/>
    <w:rsid w:val="00DE4F12"/>
    <w:rsid w:val="00DE684F"/>
    <w:rsid w:val="00DE69DF"/>
    <w:rsid w:val="00DE727A"/>
    <w:rsid w:val="00DE744E"/>
    <w:rsid w:val="00DE758B"/>
    <w:rsid w:val="00DE7EAF"/>
    <w:rsid w:val="00DF0290"/>
    <w:rsid w:val="00DF0C77"/>
    <w:rsid w:val="00DF3045"/>
    <w:rsid w:val="00DF3F64"/>
    <w:rsid w:val="00DF5B1F"/>
    <w:rsid w:val="00DF7096"/>
    <w:rsid w:val="00DF7F04"/>
    <w:rsid w:val="00E00997"/>
    <w:rsid w:val="00E026E2"/>
    <w:rsid w:val="00E04214"/>
    <w:rsid w:val="00E042B5"/>
    <w:rsid w:val="00E0443C"/>
    <w:rsid w:val="00E0543F"/>
    <w:rsid w:val="00E05DF7"/>
    <w:rsid w:val="00E0661B"/>
    <w:rsid w:val="00E06BD8"/>
    <w:rsid w:val="00E106CF"/>
    <w:rsid w:val="00E10B71"/>
    <w:rsid w:val="00E115FF"/>
    <w:rsid w:val="00E12555"/>
    <w:rsid w:val="00E139AD"/>
    <w:rsid w:val="00E13D56"/>
    <w:rsid w:val="00E14F0B"/>
    <w:rsid w:val="00E17E71"/>
    <w:rsid w:val="00E20E79"/>
    <w:rsid w:val="00E21750"/>
    <w:rsid w:val="00E21E55"/>
    <w:rsid w:val="00E23043"/>
    <w:rsid w:val="00E2438E"/>
    <w:rsid w:val="00E25C56"/>
    <w:rsid w:val="00E26575"/>
    <w:rsid w:val="00E26D2A"/>
    <w:rsid w:val="00E27447"/>
    <w:rsid w:val="00E320B4"/>
    <w:rsid w:val="00E3263B"/>
    <w:rsid w:val="00E32E1A"/>
    <w:rsid w:val="00E331C4"/>
    <w:rsid w:val="00E33272"/>
    <w:rsid w:val="00E33C48"/>
    <w:rsid w:val="00E33F84"/>
    <w:rsid w:val="00E3511B"/>
    <w:rsid w:val="00E359A6"/>
    <w:rsid w:val="00E35DDB"/>
    <w:rsid w:val="00E360E4"/>
    <w:rsid w:val="00E36EE5"/>
    <w:rsid w:val="00E402E3"/>
    <w:rsid w:val="00E405B6"/>
    <w:rsid w:val="00E40CCC"/>
    <w:rsid w:val="00E4189D"/>
    <w:rsid w:val="00E42F22"/>
    <w:rsid w:val="00E44B94"/>
    <w:rsid w:val="00E45AEF"/>
    <w:rsid w:val="00E46B08"/>
    <w:rsid w:val="00E47058"/>
    <w:rsid w:val="00E47744"/>
    <w:rsid w:val="00E500E2"/>
    <w:rsid w:val="00E51527"/>
    <w:rsid w:val="00E515AB"/>
    <w:rsid w:val="00E5182E"/>
    <w:rsid w:val="00E51DED"/>
    <w:rsid w:val="00E5330D"/>
    <w:rsid w:val="00E5440C"/>
    <w:rsid w:val="00E545D7"/>
    <w:rsid w:val="00E54A3D"/>
    <w:rsid w:val="00E55938"/>
    <w:rsid w:val="00E55CDF"/>
    <w:rsid w:val="00E55FC1"/>
    <w:rsid w:val="00E568BE"/>
    <w:rsid w:val="00E56BE9"/>
    <w:rsid w:val="00E57570"/>
    <w:rsid w:val="00E5781A"/>
    <w:rsid w:val="00E5786A"/>
    <w:rsid w:val="00E6181C"/>
    <w:rsid w:val="00E625E5"/>
    <w:rsid w:val="00E62C97"/>
    <w:rsid w:val="00E63B20"/>
    <w:rsid w:val="00E662C3"/>
    <w:rsid w:val="00E66EB7"/>
    <w:rsid w:val="00E671CD"/>
    <w:rsid w:val="00E67E49"/>
    <w:rsid w:val="00E71600"/>
    <w:rsid w:val="00E718E7"/>
    <w:rsid w:val="00E7230F"/>
    <w:rsid w:val="00E72C2D"/>
    <w:rsid w:val="00E72F44"/>
    <w:rsid w:val="00E73EAC"/>
    <w:rsid w:val="00E74038"/>
    <w:rsid w:val="00E76E87"/>
    <w:rsid w:val="00E806B0"/>
    <w:rsid w:val="00E82091"/>
    <w:rsid w:val="00E823E3"/>
    <w:rsid w:val="00E85AB1"/>
    <w:rsid w:val="00E86847"/>
    <w:rsid w:val="00E86AFE"/>
    <w:rsid w:val="00E91BBD"/>
    <w:rsid w:val="00E92181"/>
    <w:rsid w:val="00E9370B"/>
    <w:rsid w:val="00E93FFA"/>
    <w:rsid w:val="00E9468C"/>
    <w:rsid w:val="00E97392"/>
    <w:rsid w:val="00EA1C71"/>
    <w:rsid w:val="00EA1CE6"/>
    <w:rsid w:val="00EA241C"/>
    <w:rsid w:val="00EA2A05"/>
    <w:rsid w:val="00EA5617"/>
    <w:rsid w:val="00EA5EE1"/>
    <w:rsid w:val="00EA6721"/>
    <w:rsid w:val="00EA7812"/>
    <w:rsid w:val="00EA7D73"/>
    <w:rsid w:val="00EB193A"/>
    <w:rsid w:val="00EB197B"/>
    <w:rsid w:val="00EB2A55"/>
    <w:rsid w:val="00EB2C71"/>
    <w:rsid w:val="00EB32AB"/>
    <w:rsid w:val="00EB3416"/>
    <w:rsid w:val="00EB39A6"/>
    <w:rsid w:val="00EB47D1"/>
    <w:rsid w:val="00EB54AD"/>
    <w:rsid w:val="00EB57CB"/>
    <w:rsid w:val="00EB5EE0"/>
    <w:rsid w:val="00EB693E"/>
    <w:rsid w:val="00EB725C"/>
    <w:rsid w:val="00EC0842"/>
    <w:rsid w:val="00EC088D"/>
    <w:rsid w:val="00EC0C4D"/>
    <w:rsid w:val="00EC112E"/>
    <w:rsid w:val="00EC4B3B"/>
    <w:rsid w:val="00ED2053"/>
    <w:rsid w:val="00ED266C"/>
    <w:rsid w:val="00ED5521"/>
    <w:rsid w:val="00ED56F8"/>
    <w:rsid w:val="00ED670D"/>
    <w:rsid w:val="00ED7C66"/>
    <w:rsid w:val="00EE06F4"/>
    <w:rsid w:val="00EE1551"/>
    <w:rsid w:val="00EE33B5"/>
    <w:rsid w:val="00EE5974"/>
    <w:rsid w:val="00EE796D"/>
    <w:rsid w:val="00EE7AC1"/>
    <w:rsid w:val="00EF0AAF"/>
    <w:rsid w:val="00EF2672"/>
    <w:rsid w:val="00EF26E5"/>
    <w:rsid w:val="00EF2DBE"/>
    <w:rsid w:val="00EF3E5A"/>
    <w:rsid w:val="00EF3F28"/>
    <w:rsid w:val="00EF47E4"/>
    <w:rsid w:val="00EF5560"/>
    <w:rsid w:val="00EF5772"/>
    <w:rsid w:val="00EF7761"/>
    <w:rsid w:val="00F0034E"/>
    <w:rsid w:val="00F01354"/>
    <w:rsid w:val="00F01395"/>
    <w:rsid w:val="00F014BE"/>
    <w:rsid w:val="00F015E2"/>
    <w:rsid w:val="00F01648"/>
    <w:rsid w:val="00F01E3B"/>
    <w:rsid w:val="00F02B57"/>
    <w:rsid w:val="00F043BF"/>
    <w:rsid w:val="00F04F56"/>
    <w:rsid w:val="00F05FB9"/>
    <w:rsid w:val="00F06AC8"/>
    <w:rsid w:val="00F07547"/>
    <w:rsid w:val="00F1002E"/>
    <w:rsid w:val="00F10199"/>
    <w:rsid w:val="00F104F1"/>
    <w:rsid w:val="00F12806"/>
    <w:rsid w:val="00F14486"/>
    <w:rsid w:val="00F20577"/>
    <w:rsid w:val="00F2079E"/>
    <w:rsid w:val="00F20D66"/>
    <w:rsid w:val="00F20F7D"/>
    <w:rsid w:val="00F22DB7"/>
    <w:rsid w:val="00F23EAB"/>
    <w:rsid w:val="00F248FA"/>
    <w:rsid w:val="00F24F82"/>
    <w:rsid w:val="00F25229"/>
    <w:rsid w:val="00F26728"/>
    <w:rsid w:val="00F26979"/>
    <w:rsid w:val="00F30A90"/>
    <w:rsid w:val="00F31A1A"/>
    <w:rsid w:val="00F329E6"/>
    <w:rsid w:val="00F32CD9"/>
    <w:rsid w:val="00F33237"/>
    <w:rsid w:val="00F3363B"/>
    <w:rsid w:val="00F33CB3"/>
    <w:rsid w:val="00F3496A"/>
    <w:rsid w:val="00F37751"/>
    <w:rsid w:val="00F411FE"/>
    <w:rsid w:val="00F436F5"/>
    <w:rsid w:val="00F45914"/>
    <w:rsid w:val="00F470F0"/>
    <w:rsid w:val="00F474FA"/>
    <w:rsid w:val="00F477AD"/>
    <w:rsid w:val="00F47E2F"/>
    <w:rsid w:val="00F501EA"/>
    <w:rsid w:val="00F5246B"/>
    <w:rsid w:val="00F53CD3"/>
    <w:rsid w:val="00F5427C"/>
    <w:rsid w:val="00F54DE4"/>
    <w:rsid w:val="00F5535F"/>
    <w:rsid w:val="00F553EE"/>
    <w:rsid w:val="00F555F2"/>
    <w:rsid w:val="00F56340"/>
    <w:rsid w:val="00F56B04"/>
    <w:rsid w:val="00F60BFB"/>
    <w:rsid w:val="00F6138C"/>
    <w:rsid w:val="00F61F4A"/>
    <w:rsid w:val="00F6207B"/>
    <w:rsid w:val="00F6298B"/>
    <w:rsid w:val="00F62E76"/>
    <w:rsid w:val="00F63670"/>
    <w:rsid w:val="00F6482E"/>
    <w:rsid w:val="00F64CF2"/>
    <w:rsid w:val="00F661B1"/>
    <w:rsid w:val="00F66CD2"/>
    <w:rsid w:val="00F67211"/>
    <w:rsid w:val="00F726B8"/>
    <w:rsid w:val="00F734AC"/>
    <w:rsid w:val="00F75152"/>
    <w:rsid w:val="00F75C2E"/>
    <w:rsid w:val="00F766DE"/>
    <w:rsid w:val="00F815B4"/>
    <w:rsid w:val="00F81B19"/>
    <w:rsid w:val="00F81D4B"/>
    <w:rsid w:val="00F834D6"/>
    <w:rsid w:val="00F83521"/>
    <w:rsid w:val="00F83F9E"/>
    <w:rsid w:val="00F85171"/>
    <w:rsid w:val="00F86338"/>
    <w:rsid w:val="00F87139"/>
    <w:rsid w:val="00F90BAB"/>
    <w:rsid w:val="00F9132D"/>
    <w:rsid w:val="00F9483E"/>
    <w:rsid w:val="00F96293"/>
    <w:rsid w:val="00F968D9"/>
    <w:rsid w:val="00F96EC7"/>
    <w:rsid w:val="00F96FA1"/>
    <w:rsid w:val="00F97F1D"/>
    <w:rsid w:val="00FA1845"/>
    <w:rsid w:val="00FA20F5"/>
    <w:rsid w:val="00FA240E"/>
    <w:rsid w:val="00FA2526"/>
    <w:rsid w:val="00FA31A9"/>
    <w:rsid w:val="00FA412F"/>
    <w:rsid w:val="00FA4207"/>
    <w:rsid w:val="00FA4C83"/>
    <w:rsid w:val="00FA629D"/>
    <w:rsid w:val="00FA6A94"/>
    <w:rsid w:val="00FB0104"/>
    <w:rsid w:val="00FB118A"/>
    <w:rsid w:val="00FB349F"/>
    <w:rsid w:val="00FB3C44"/>
    <w:rsid w:val="00FB4263"/>
    <w:rsid w:val="00FB44B1"/>
    <w:rsid w:val="00FB56DC"/>
    <w:rsid w:val="00FB59C2"/>
    <w:rsid w:val="00FB5EF3"/>
    <w:rsid w:val="00FC035D"/>
    <w:rsid w:val="00FC03BC"/>
    <w:rsid w:val="00FC0D57"/>
    <w:rsid w:val="00FC107F"/>
    <w:rsid w:val="00FC14F2"/>
    <w:rsid w:val="00FC26FE"/>
    <w:rsid w:val="00FC31EE"/>
    <w:rsid w:val="00FC3517"/>
    <w:rsid w:val="00FC4171"/>
    <w:rsid w:val="00FC5839"/>
    <w:rsid w:val="00FC5C83"/>
    <w:rsid w:val="00FC787C"/>
    <w:rsid w:val="00FD00AD"/>
    <w:rsid w:val="00FD04F4"/>
    <w:rsid w:val="00FD0A3B"/>
    <w:rsid w:val="00FD1AC3"/>
    <w:rsid w:val="00FD2B94"/>
    <w:rsid w:val="00FD3C8C"/>
    <w:rsid w:val="00FD416B"/>
    <w:rsid w:val="00FD46CE"/>
    <w:rsid w:val="00FD6C6C"/>
    <w:rsid w:val="00FD71AF"/>
    <w:rsid w:val="00FD7EE7"/>
    <w:rsid w:val="00FE0109"/>
    <w:rsid w:val="00FE295C"/>
    <w:rsid w:val="00FE36B0"/>
    <w:rsid w:val="00FE38E8"/>
    <w:rsid w:val="00FE3969"/>
    <w:rsid w:val="00FE4B0C"/>
    <w:rsid w:val="00FE4B5D"/>
    <w:rsid w:val="00FE4B82"/>
    <w:rsid w:val="00FF0239"/>
    <w:rsid w:val="00FF1753"/>
    <w:rsid w:val="00FF17A4"/>
    <w:rsid w:val="00FF2096"/>
    <w:rsid w:val="00FF2863"/>
    <w:rsid w:val="00FF2F21"/>
    <w:rsid w:val="00FF329B"/>
    <w:rsid w:val="00FF366C"/>
    <w:rsid w:val="00FF4DC4"/>
    <w:rsid w:val="00FF4E6B"/>
    <w:rsid w:val="00FF63E6"/>
    <w:rsid w:val="0A24FDA1"/>
    <w:rsid w:val="0D2CC329"/>
    <w:rsid w:val="15FF2F9D"/>
    <w:rsid w:val="1856A524"/>
    <w:rsid w:val="1D2FB6A0"/>
    <w:rsid w:val="1D77C40A"/>
    <w:rsid w:val="27C4BB80"/>
    <w:rsid w:val="36E80DB4"/>
    <w:rsid w:val="395234A4"/>
    <w:rsid w:val="534F20B5"/>
    <w:rsid w:val="55C67AD5"/>
    <w:rsid w:val="5658AB38"/>
    <w:rsid w:val="589D61FD"/>
    <w:rsid w:val="5970F3FA"/>
    <w:rsid w:val="5A767C89"/>
    <w:rsid w:val="5B3C9C91"/>
    <w:rsid w:val="62EBED5C"/>
    <w:rsid w:val="686C31F3"/>
    <w:rsid w:val="7306D72C"/>
    <w:rsid w:val="7B55B110"/>
    <w:rsid w:val="7FA0A3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7908"/>
  <w15:chartTrackingRefBased/>
  <w15:docId w15:val="{A2FBA2A4-ECE5-4660-B3C3-9B1C0440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64"/>
    <w:pPr>
      <w:spacing w:after="0" w:line="240" w:lineRule="auto"/>
      <w:jc w:val="both"/>
    </w:pPr>
    <w:rPr>
      <w:rFonts w:eastAsia="Times New Roman" w:cstheme="minorHAnsi"/>
      <w:sz w:val="24"/>
      <w:szCs w:val="24"/>
      <w:lang w:val="en-US"/>
    </w:rPr>
  </w:style>
  <w:style w:type="paragraph" w:styleId="Heading1">
    <w:name w:val="heading 1"/>
    <w:basedOn w:val="Normal"/>
    <w:next w:val="Normal"/>
    <w:link w:val="Heading1Char"/>
    <w:uiPriority w:val="9"/>
    <w:qFormat/>
    <w:rsid w:val="005B58B0"/>
    <w:pPr>
      <w:keepNext/>
      <w:keepLines/>
      <w:numPr>
        <w:numId w:val="3"/>
      </w:numPr>
      <w:spacing w:before="24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5B58B0"/>
    <w:pPr>
      <w:keepNext/>
      <w:keepLines/>
      <w:numPr>
        <w:ilvl w:val="1"/>
        <w:numId w:val="3"/>
      </w:numPr>
      <w:spacing w:before="200"/>
      <w:outlineLvl w:val="1"/>
    </w:pPr>
    <w:rPr>
      <w:rFonts w:eastAsiaTheme="majorEastAsia"/>
      <w:b/>
      <w:bCs/>
      <w:color w:val="4472C4" w:themeColor="accent1"/>
      <w:sz w:val="28"/>
      <w:szCs w:val="22"/>
    </w:rPr>
  </w:style>
  <w:style w:type="paragraph" w:styleId="Heading3">
    <w:name w:val="heading 3"/>
    <w:basedOn w:val="Normal"/>
    <w:next w:val="Normal"/>
    <w:link w:val="Heading3Char"/>
    <w:uiPriority w:val="9"/>
    <w:unhideWhenUsed/>
    <w:qFormat/>
    <w:rsid w:val="005B58B0"/>
    <w:pPr>
      <w:keepNext/>
      <w:keepLines/>
      <w:numPr>
        <w:ilvl w:val="2"/>
        <w:numId w:val="3"/>
      </w:numPr>
      <w:spacing w:before="40" w:line="259" w:lineRule="auto"/>
      <w:outlineLvl w:val="2"/>
    </w:pPr>
    <w:rPr>
      <w:rFonts w:eastAsiaTheme="majorEastAsia"/>
      <w:color w:val="1F3763" w:themeColor="accent1" w:themeShade="7F"/>
    </w:rPr>
  </w:style>
  <w:style w:type="paragraph" w:styleId="Heading4">
    <w:name w:val="heading 4"/>
    <w:basedOn w:val="Normal"/>
    <w:next w:val="Normal"/>
    <w:link w:val="Heading4Char"/>
    <w:uiPriority w:val="9"/>
    <w:unhideWhenUsed/>
    <w:qFormat/>
    <w:rsid w:val="005B58B0"/>
    <w:pPr>
      <w:keepNext/>
      <w:keepLines/>
      <w:numPr>
        <w:ilvl w:val="3"/>
        <w:numId w:val="3"/>
      </w:numPr>
      <w:spacing w:before="40"/>
      <w:outlineLvl w:val="3"/>
    </w:pPr>
    <w:rPr>
      <w:rFonts w:eastAsiaTheme="majorEastAsia"/>
      <w:iCs/>
      <w:color w:val="2F5496" w:themeColor="accent1" w:themeShade="BF"/>
    </w:rPr>
  </w:style>
  <w:style w:type="paragraph" w:styleId="Heading5">
    <w:name w:val="heading 5"/>
    <w:basedOn w:val="Normal"/>
    <w:next w:val="Normal"/>
    <w:link w:val="Heading5Char"/>
    <w:uiPriority w:val="9"/>
    <w:unhideWhenUsed/>
    <w:qFormat/>
    <w:rsid w:val="005B58B0"/>
    <w:pPr>
      <w:keepNext/>
      <w:keepLines/>
      <w:numPr>
        <w:ilvl w:val="4"/>
        <w:numId w:val="3"/>
      </w:numPr>
      <w:spacing w:before="40"/>
      <w:ind w:left="990"/>
      <w:outlineLvl w:val="4"/>
    </w:pPr>
    <w:rPr>
      <w:rFonts w:eastAsiaTheme="majorEastAsia"/>
      <w:color w:val="2F5496" w:themeColor="accent1" w:themeShade="BF"/>
    </w:rPr>
  </w:style>
  <w:style w:type="paragraph" w:styleId="Heading6">
    <w:name w:val="heading 6"/>
    <w:basedOn w:val="Normal"/>
    <w:next w:val="Normal"/>
    <w:link w:val="Heading6Char"/>
    <w:uiPriority w:val="9"/>
    <w:unhideWhenUsed/>
    <w:qFormat/>
    <w:rsid w:val="005B58B0"/>
    <w:pPr>
      <w:keepNext/>
      <w:keepLines/>
      <w:numPr>
        <w:ilvl w:val="5"/>
        <w:numId w:val="3"/>
      </w:numPr>
      <w:spacing w:before="40"/>
      <w:ind w:left="1170" w:hanging="1170"/>
      <w:outlineLvl w:val="5"/>
    </w:pPr>
    <w:rPr>
      <w:rFonts w:eastAsiaTheme="majorEastAsia"/>
      <w:color w:val="1F3763" w:themeColor="accent1" w:themeShade="7F"/>
    </w:rPr>
  </w:style>
  <w:style w:type="paragraph" w:styleId="Heading7">
    <w:name w:val="heading 7"/>
    <w:basedOn w:val="Normal"/>
    <w:next w:val="Normal"/>
    <w:link w:val="Heading7Char"/>
    <w:uiPriority w:val="9"/>
    <w:unhideWhenUsed/>
    <w:qFormat/>
    <w:rsid w:val="005B58B0"/>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B58B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58B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8B0"/>
    <w:rPr>
      <w:rFonts w:eastAsiaTheme="majorEastAsia" w:cstheme="minorHAnsi"/>
      <w:color w:val="2F5496" w:themeColor="accent1" w:themeShade="BF"/>
      <w:sz w:val="32"/>
      <w:szCs w:val="32"/>
      <w:lang w:val="en-US"/>
    </w:rPr>
  </w:style>
  <w:style w:type="character" w:customStyle="1" w:styleId="Heading2Char">
    <w:name w:val="Heading 2 Char"/>
    <w:basedOn w:val="DefaultParagraphFont"/>
    <w:link w:val="Heading2"/>
    <w:uiPriority w:val="9"/>
    <w:rsid w:val="005B58B0"/>
    <w:rPr>
      <w:rFonts w:eastAsiaTheme="majorEastAsia" w:cstheme="minorHAnsi"/>
      <w:b/>
      <w:bCs/>
      <w:color w:val="4472C4" w:themeColor="accent1"/>
      <w:sz w:val="28"/>
      <w:lang w:val="en-US"/>
    </w:rPr>
  </w:style>
  <w:style w:type="character" w:customStyle="1" w:styleId="Heading3Char">
    <w:name w:val="Heading 3 Char"/>
    <w:basedOn w:val="DefaultParagraphFont"/>
    <w:link w:val="Heading3"/>
    <w:uiPriority w:val="9"/>
    <w:rsid w:val="005B58B0"/>
    <w:rPr>
      <w:rFonts w:eastAsiaTheme="majorEastAsia" w:cstheme="minorHAnsi"/>
      <w:color w:val="1F3763" w:themeColor="accent1" w:themeShade="7F"/>
      <w:sz w:val="24"/>
      <w:szCs w:val="24"/>
      <w:lang w:val="en-US"/>
    </w:rPr>
  </w:style>
  <w:style w:type="character" w:customStyle="1" w:styleId="Heading4Char">
    <w:name w:val="Heading 4 Char"/>
    <w:basedOn w:val="DefaultParagraphFont"/>
    <w:link w:val="Heading4"/>
    <w:uiPriority w:val="9"/>
    <w:rsid w:val="005B58B0"/>
    <w:rPr>
      <w:rFonts w:eastAsiaTheme="majorEastAsia" w:cstheme="minorHAnsi"/>
      <w:iCs/>
      <w:color w:val="2F5496" w:themeColor="accent1" w:themeShade="BF"/>
      <w:sz w:val="24"/>
      <w:szCs w:val="24"/>
      <w:lang w:val="en-US"/>
    </w:rPr>
  </w:style>
  <w:style w:type="character" w:customStyle="1" w:styleId="Heading5Char">
    <w:name w:val="Heading 5 Char"/>
    <w:basedOn w:val="DefaultParagraphFont"/>
    <w:link w:val="Heading5"/>
    <w:uiPriority w:val="9"/>
    <w:rsid w:val="005B58B0"/>
    <w:rPr>
      <w:rFonts w:eastAsiaTheme="majorEastAsia" w:cstheme="minorHAnsi"/>
      <w:color w:val="2F5496" w:themeColor="accent1" w:themeShade="BF"/>
      <w:sz w:val="24"/>
      <w:szCs w:val="24"/>
      <w:lang w:val="en-US"/>
    </w:rPr>
  </w:style>
  <w:style w:type="character" w:customStyle="1" w:styleId="Heading6Char">
    <w:name w:val="Heading 6 Char"/>
    <w:basedOn w:val="DefaultParagraphFont"/>
    <w:link w:val="Heading6"/>
    <w:uiPriority w:val="9"/>
    <w:rsid w:val="005B58B0"/>
    <w:rPr>
      <w:rFonts w:eastAsiaTheme="majorEastAsia" w:cstheme="minorHAnsi"/>
      <w:color w:val="1F3763" w:themeColor="accent1" w:themeShade="7F"/>
      <w:sz w:val="24"/>
      <w:szCs w:val="24"/>
      <w:lang w:val="en-US"/>
    </w:rPr>
  </w:style>
  <w:style w:type="character" w:customStyle="1" w:styleId="Heading7Char">
    <w:name w:val="Heading 7 Char"/>
    <w:basedOn w:val="DefaultParagraphFont"/>
    <w:link w:val="Heading7"/>
    <w:uiPriority w:val="9"/>
    <w:rsid w:val="005B58B0"/>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5B58B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B58B0"/>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5B58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58B0"/>
    <w:pPr>
      <w:tabs>
        <w:tab w:val="center" w:pos="4320"/>
        <w:tab w:val="right" w:pos="8640"/>
      </w:tabs>
    </w:pPr>
  </w:style>
  <w:style w:type="character" w:customStyle="1" w:styleId="HeaderChar">
    <w:name w:val="Header Char"/>
    <w:basedOn w:val="DefaultParagraphFont"/>
    <w:link w:val="Header"/>
    <w:uiPriority w:val="99"/>
    <w:rsid w:val="005B58B0"/>
    <w:rPr>
      <w:rFonts w:eastAsia="Times New Roman" w:cstheme="minorHAnsi"/>
      <w:sz w:val="24"/>
      <w:szCs w:val="24"/>
      <w:lang w:val="en-US"/>
    </w:rPr>
  </w:style>
  <w:style w:type="paragraph" w:styleId="Footer">
    <w:name w:val="footer"/>
    <w:basedOn w:val="Normal"/>
    <w:link w:val="FooterChar"/>
    <w:uiPriority w:val="99"/>
    <w:rsid w:val="005B58B0"/>
    <w:pPr>
      <w:tabs>
        <w:tab w:val="center" w:pos="4320"/>
        <w:tab w:val="right" w:pos="8640"/>
      </w:tabs>
    </w:pPr>
  </w:style>
  <w:style w:type="character" w:customStyle="1" w:styleId="FooterChar">
    <w:name w:val="Footer Char"/>
    <w:basedOn w:val="DefaultParagraphFont"/>
    <w:link w:val="Footer"/>
    <w:uiPriority w:val="99"/>
    <w:rsid w:val="005B58B0"/>
    <w:rPr>
      <w:rFonts w:eastAsia="Times New Roman" w:cstheme="minorHAnsi"/>
      <w:sz w:val="24"/>
      <w:szCs w:val="24"/>
      <w:lang w:val="en-US"/>
    </w:rPr>
  </w:style>
  <w:style w:type="paragraph" w:styleId="BalloonText">
    <w:name w:val="Balloon Text"/>
    <w:basedOn w:val="Normal"/>
    <w:link w:val="BalloonTextChar"/>
    <w:uiPriority w:val="99"/>
    <w:rsid w:val="005B58B0"/>
    <w:rPr>
      <w:rFonts w:ascii="Tahoma" w:hAnsi="Tahoma" w:cs="Tahoma"/>
      <w:sz w:val="16"/>
      <w:szCs w:val="16"/>
    </w:rPr>
  </w:style>
  <w:style w:type="character" w:customStyle="1" w:styleId="BalloonTextChar">
    <w:name w:val="Balloon Text Char"/>
    <w:basedOn w:val="DefaultParagraphFont"/>
    <w:link w:val="BalloonText"/>
    <w:uiPriority w:val="99"/>
    <w:rsid w:val="005B58B0"/>
    <w:rPr>
      <w:rFonts w:ascii="Tahoma" w:eastAsia="Times New Roman" w:hAnsi="Tahoma" w:cs="Tahoma"/>
      <w:sz w:val="16"/>
      <w:szCs w:val="16"/>
      <w:lang w:val="en-US"/>
    </w:rPr>
  </w:style>
  <w:style w:type="character" w:styleId="CommentReference">
    <w:name w:val="annotation reference"/>
    <w:basedOn w:val="DefaultParagraphFont"/>
    <w:uiPriority w:val="99"/>
    <w:rsid w:val="005B58B0"/>
    <w:rPr>
      <w:sz w:val="16"/>
      <w:szCs w:val="16"/>
    </w:rPr>
  </w:style>
  <w:style w:type="paragraph" w:styleId="CommentText">
    <w:name w:val="annotation text"/>
    <w:basedOn w:val="Normal"/>
    <w:link w:val="CommentTextChar"/>
    <w:rsid w:val="005B58B0"/>
    <w:rPr>
      <w:sz w:val="20"/>
      <w:szCs w:val="20"/>
    </w:rPr>
  </w:style>
  <w:style w:type="character" w:customStyle="1" w:styleId="CommentTextChar">
    <w:name w:val="Comment Text Char"/>
    <w:basedOn w:val="DefaultParagraphFont"/>
    <w:link w:val="CommentText"/>
    <w:rsid w:val="005B58B0"/>
    <w:rPr>
      <w:rFonts w:eastAsia="Times New Roman" w:cstheme="minorHAnsi"/>
      <w:sz w:val="20"/>
      <w:szCs w:val="20"/>
      <w:lang w:val="en-US"/>
    </w:rPr>
  </w:style>
  <w:style w:type="paragraph" w:styleId="CommentSubject">
    <w:name w:val="annotation subject"/>
    <w:basedOn w:val="CommentText"/>
    <w:next w:val="CommentText"/>
    <w:link w:val="CommentSubjectChar"/>
    <w:rsid w:val="005B58B0"/>
    <w:rPr>
      <w:b/>
      <w:bCs/>
    </w:rPr>
  </w:style>
  <w:style w:type="character" w:customStyle="1" w:styleId="CommentSubjectChar">
    <w:name w:val="Comment Subject Char"/>
    <w:basedOn w:val="CommentTextChar"/>
    <w:link w:val="CommentSubject"/>
    <w:rsid w:val="005B58B0"/>
    <w:rPr>
      <w:rFonts w:eastAsia="Times New Roman" w:cstheme="minorHAnsi"/>
      <w:b/>
      <w:bCs/>
      <w:sz w:val="20"/>
      <w:szCs w:val="20"/>
      <w:lang w:val="en-US"/>
    </w:rPr>
  </w:style>
  <w:style w:type="paragraph" w:customStyle="1" w:styleId="B-head">
    <w:name w:val="&gt; B-head"/>
    <w:basedOn w:val="Heading2"/>
    <w:rsid w:val="005B58B0"/>
    <w:pPr>
      <w:keepLines w:val="0"/>
      <w:spacing w:before="0" w:after="60" w:line="280" w:lineRule="atLeast"/>
    </w:pPr>
    <w:rPr>
      <w:rFonts w:ascii="Arial" w:eastAsia="Times" w:hAnsi="Arial" w:cs="Times New Roman"/>
      <w:bCs w:val="0"/>
      <w:caps/>
      <w:color w:val="FF6600"/>
      <w:sz w:val="20"/>
      <w:szCs w:val="20"/>
    </w:rPr>
  </w:style>
  <w:style w:type="paragraph" w:styleId="ListParagraph">
    <w:name w:val="List Paragraph"/>
    <w:basedOn w:val="Normal"/>
    <w:uiPriority w:val="34"/>
    <w:qFormat/>
    <w:rsid w:val="005B58B0"/>
    <w:pPr>
      <w:ind w:left="720"/>
      <w:contextualSpacing/>
    </w:pPr>
  </w:style>
  <w:style w:type="paragraph" w:customStyle="1" w:styleId="Tabletext">
    <w:name w:val="&gt; Table text"/>
    <w:basedOn w:val="Normal"/>
    <w:rsid w:val="005B58B0"/>
    <w:pPr>
      <w:spacing w:line="280" w:lineRule="atLeast"/>
    </w:pPr>
    <w:rPr>
      <w:rFonts w:ascii="Arial" w:eastAsia="Times" w:hAnsi="Arial"/>
      <w:sz w:val="20"/>
      <w:szCs w:val="20"/>
    </w:rPr>
  </w:style>
  <w:style w:type="character" w:styleId="Hyperlink">
    <w:name w:val="Hyperlink"/>
    <w:basedOn w:val="DefaultParagraphFont"/>
    <w:uiPriority w:val="99"/>
    <w:rsid w:val="005B58B0"/>
    <w:rPr>
      <w:color w:val="0563C1" w:themeColor="hyperlink"/>
      <w:u w:val="single"/>
    </w:rPr>
  </w:style>
  <w:style w:type="paragraph" w:customStyle="1" w:styleId="Heading20">
    <w:name w:val="Heading2"/>
    <w:basedOn w:val="Heading2"/>
    <w:link w:val="Heading2Char0"/>
    <w:qFormat/>
    <w:rsid w:val="005B58B0"/>
    <w:rPr>
      <w:i/>
    </w:rPr>
  </w:style>
  <w:style w:type="character" w:customStyle="1" w:styleId="Heading2Char0">
    <w:name w:val="Heading2 Char"/>
    <w:basedOn w:val="Heading2Char"/>
    <w:link w:val="Heading20"/>
    <w:rsid w:val="005B58B0"/>
    <w:rPr>
      <w:rFonts w:eastAsiaTheme="majorEastAsia" w:cstheme="minorHAnsi"/>
      <w:b/>
      <w:bCs/>
      <w:i/>
      <w:color w:val="4472C4" w:themeColor="accent1"/>
      <w:sz w:val="28"/>
      <w:lang w:val="en-US"/>
    </w:rPr>
  </w:style>
  <w:style w:type="character" w:customStyle="1" w:styleId="span">
    <w:name w:val="span"/>
    <w:basedOn w:val="DefaultParagraphFont"/>
    <w:rsid w:val="005B58B0"/>
  </w:style>
  <w:style w:type="paragraph" w:customStyle="1" w:styleId="Default">
    <w:name w:val="Default"/>
    <w:rsid w:val="005B58B0"/>
    <w:pPr>
      <w:autoSpaceDE w:val="0"/>
      <w:autoSpaceDN w:val="0"/>
      <w:adjustRightInd w:val="0"/>
      <w:spacing w:after="0" w:line="240" w:lineRule="auto"/>
    </w:pPr>
    <w:rPr>
      <w:rFonts w:ascii="Constantia" w:eastAsia="Times New Roman" w:hAnsi="Constantia" w:cs="Constantia"/>
      <w:color w:val="000000"/>
      <w:sz w:val="24"/>
      <w:szCs w:val="24"/>
    </w:rPr>
  </w:style>
  <w:style w:type="paragraph" w:styleId="Caption">
    <w:name w:val="caption"/>
    <w:basedOn w:val="Normal"/>
    <w:next w:val="Normal"/>
    <w:uiPriority w:val="35"/>
    <w:unhideWhenUsed/>
    <w:qFormat/>
    <w:rsid w:val="005B58B0"/>
    <w:pPr>
      <w:spacing w:after="200"/>
    </w:pPr>
    <w:rPr>
      <w:rFonts w:eastAsiaTheme="minorHAnsi" w:cstheme="minorBidi"/>
      <w:i/>
      <w:iCs/>
      <w:color w:val="44546A" w:themeColor="text2"/>
      <w:sz w:val="18"/>
      <w:szCs w:val="18"/>
    </w:rPr>
  </w:style>
  <w:style w:type="paragraph" w:customStyle="1" w:styleId="TableText0">
    <w:name w:val="Table Text"/>
    <w:rsid w:val="005B58B0"/>
    <w:pPr>
      <w:spacing w:before="40" w:after="40" w:line="240" w:lineRule="auto"/>
      <w:ind w:left="74"/>
    </w:pPr>
    <w:rPr>
      <w:rFonts w:ascii="Arial" w:eastAsia="Times New Roman" w:hAnsi="Arial" w:cs="Times New Roman"/>
      <w:snapToGrid w:val="0"/>
      <w:color w:val="000000"/>
      <w:sz w:val="16"/>
      <w:szCs w:val="20"/>
    </w:rPr>
  </w:style>
  <w:style w:type="paragraph" w:customStyle="1" w:styleId="TableText1">
    <w:name w:val="TableText"/>
    <w:basedOn w:val="Normal"/>
    <w:rsid w:val="005B58B0"/>
    <w:pPr>
      <w:keepNext/>
    </w:pPr>
    <w:rPr>
      <w:rFonts w:ascii="Arial" w:hAnsi="Arial"/>
      <w:sz w:val="18"/>
      <w:szCs w:val="20"/>
    </w:rPr>
  </w:style>
  <w:style w:type="paragraph" w:styleId="NormalWeb">
    <w:name w:val="Normal (Web)"/>
    <w:basedOn w:val="Normal"/>
    <w:uiPriority w:val="99"/>
    <w:unhideWhenUsed/>
    <w:rsid w:val="005B58B0"/>
    <w:pPr>
      <w:spacing w:before="100" w:beforeAutospacing="1" w:after="100" w:afterAutospacing="1"/>
    </w:pPr>
  </w:style>
  <w:style w:type="paragraph" w:styleId="TOCHeading">
    <w:name w:val="TOC Heading"/>
    <w:basedOn w:val="Heading1"/>
    <w:next w:val="Normal"/>
    <w:uiPriority w:val="39"/>
    <w:unhideWhenUsed/>
    <w:qFormat/>
    <w:rsid w:val="005B58B0"/>
    <w:pPr>
      <w:spacing w:line="259" w:lineRule="auto"/>
      <w:outlineLvl w:val="9"/>
    </w:pPr>
  </w:style>
  <w:style w:type="paragraph" w:styleId="TOC1">
    <w:name w:val="toc 1"/>
    <w:basedOn w:val="Normal"/>
    <w:next w:val="Normal"/>
    <w:autoRedefine/>
    <w:uiPriority w:val="39"/>
    <w:unhideWhenUsed/>
    <w:rsid w:val="00CE486C"/>
    <w:pPr>
      <w:tabs>
        <w:tab w:val="right" w:leader="dot" w:pos="9039"/>
      </w:tabs>
      <w:spacing w:before="120"/>
      <w:jc w:val="left"/>
    </w:pPr>
    <w:rPr>
      <w:b/>
      <w:bCs/>
      <w:i/>
      <w:iCs/>
    </w:rPr>
  </w:style>
  <w:style w:type="paragraph" w:styleId="TOC2">
    <w:name w:val="toc 2"/>
    <w:basedOn w:val="Normal"/>
    <w:next w:val="Normal"/>
    <w:autoRedefine/>
    <w:uiPriority w:val="39"/>
    <w:unhideWhenUsed/>
    <w:rsid w:val="00CE486C"/>
    <w:pPr>
      <w:tabs>
        <w:tab w:val="left" w:pos="522"/>
        <w:tab w:val="left" w:pos="960"/>
        <w:tab w:val="right" w:leader="dot" w:pos="9039"/>
      </w:tabs>
      <w:spacing w:before="120"/>
      <w:jc w:val="left"/>
    </w:pPr>
    <w:rPr>
      <w:b/>
      <w:bCs/>
      <w:sz w:val="22"/>
      <w:szCs w:val="22"/>
    </w:rPr>
  </w:style>
  <w:style w:type="paragraph" w:styleId="TOC3">
    <w:name w:val="toc 3"/>
    <w:basedOn w:val="Normal"/>
    <w:next w:val="Normal"/>
    <w:autoRedefine/>
    <w:uiPriority w:val="39"/>
    <w:unhideWhenUsed/>
    <w:rsid w:val="00F32CD9"/>
    <w:pPr>
      <w:tabs>
        <w:tab w:val="right" w:leader="dot" w:pos="9039"/>
      </w:tabs>
      <w:ind w:left="480"/>
      <w:jc w:val="left"/>
    </w:pPr>
    <w:rPr>
      <w:sz w:val="20"/>
      <w:szCs w:val="20"/>
    </w:rPr>
  </w:style>
  <w:style w:type="paragraph" w:customStyle="1" w:styleId="Other-Normal">
    <w:name w:val="Other-Normal"/>
    <w:basedOn w:val="Normal"/>
    <w:link w:val="Other-NormalChar"/>
    <w:qFormat/>
    <w:rsid w:val="005B58B0"/>
    <w:pPr>
      <w:spacing w:after="120" w:line="259" w:lineRule="auto"/>
    </w:pPr>
    <w:rPr>
      <w:rFonts w:eastAsiaTheme="minorHAnsi" w:cstheme="minorBidi"/>
      <w:sz w:val="22"/>
      <w:szCs w:val="22"/>
    </w:rPr>
  </w:style>
  <w:style w:type="character" w:customStyle="1" w:styleId="Other-NormalChar">
    <w:name w:val="Other-Normal Char"/>
    <w:basedOn w:val="DefaultParagraphFont"/>
    <w:link w:val="Other-Normal"/>
    <w:rsid w:val="005B58B0"/>
    <w:rPr>
      <w:lang w:val="en-US"/>
    </w:rPr>
  </w:style>
  <w:style w:type="paragraph" w:customStyle="1" w:styleId="GALP-Normal">
    <w:name w:val="GALP-Normal"/>
    <w:basedOn w:val="Normal"/>
    <w:link w:val="GALP-NormalCar"/>
    <w:rsid w:val="005B58B0"/>
    <w:pPr>
      <w:spacing w:after="120" w:line="259" w:lineRule="auto"/>
    </w:pPr>
    <w:rPr>
      <w:rFonts w:eastAsiaTheme="minorHAnsi" w:cstheme="minorBidi"/>
      <w:sz w:val="22"/>
      <w:szCs w:val="22"/>
    </w:rPr>
  </w:style>
  <w:style w:type="character" w:customStyle="1" w:styleId="GALP-NormalCar">
    <w:name w:val="GALP-Normal Car"/>
    <w:basedOn w:val="DefaultParagraphFont"/>
    <w:link w:val="GALP-Normal"/>
    <w:rsid w:val="005B58B0"/>
    <w:rPr>
      <w:lang w:val="en-US"/>
    </w:rPr>
  </w:style>
  <w:style w:type="character" w:styleId="Strong">
    <w:name w:val="Strong"/>
    <w:basedOn w:val="DefaultParagraphFont"/>
    <w:uiPriority w:val="22"/>
    <w:qFormat/>
    <w:rsid w:val="005B58B0"/>
    <w:rPr>
      <w:b/>
      <w:bCs/>
    </w:rPr>
  </w:style>
  <w:style w:type="paragraph" w:styleId="NoSpacing">
    <w:name w:val="No Spacing"/>
    <w:uiPriority w:val="1"/>
    <w:qFormat/>
    <w:rsid w:val="005B58B0"/>
    <w:pPr>
      <w:spacing w:after="0" w:line="240" w:lineRule="auto"/>
    </w:pPr>
    <w:rPr>
      <w:lang w:val="en-US"/>
    </w:rPr>
  </w:style>
  <w:style w:type="paragraph" w:styleId="TOC4">
    <w:name w:val="toc 4"/>
    <w:basedOn w:val="Normal"/>
    <w:next w:val="Normal"/>
    <w:autoRedefine/>
    <w:uiPriority w:val="39"/>
    <w:unhideWhenUsed/>
    <w:rsid w:val="005B58B0"/>
    <w:pPr>
      <w:ind w:left="720"/>
      <w:jc w:val="left"/>
    </w:pPr>
    <w:rPr>
      <w:sz w:val="20"/>
      <w:szCs w:val="20"/>
    </w:rPr>
  </w:style>
  <w:style w:type="character" w:styleId="Emphasis">
    <w:name w:val="Emphasis"/>
    <w:basedOn w:val="DefaultParagraphFont"/>
    <w:uiPriority w:val="20"/>
    <w:qFormat/>
    <w:rsid w:val="005B58B0"/>
    <w:rPr>
      <w:i/>
      <w:iCs/>
    </w:rPr>
  </w:style>
  <w:style w:type="paragraph" w:customStyle="1" w:styleId="Elistadevietas2">
    <w:name w:val="E_lista de viñetas 2"/>
    <w:basedOn w:val="Elistadevietas"/>
    <w:rsid w:val="005B58B0"/>
    <w:pPr>
      <w:numPr>
        <w:ilvl w:val="1"/>
      </w:numPr>
    </w:pPr>
  </w:style>
  <w:style w:type="paragraph" w:customStyle="1" w:styleId="Elistadevietas">
    <w:name w:val="E_lista de viñetas"/>
    <w:basedOn w:val="Normal"/>
    <w:rsid w:val="005B58B0"/>
    <w:pPr>
      <w:numPr>
        <w:numId w:val="2"/>
      </w:numPr>
      <w:spacing w:before="60" w:after="60"/>
      <w:ind w:left="714" w:hanging="357"/>
    </w:pPr>
    <w:rPr>
      <w:rFonts w:ascii="Arial" w:hAnsi="Arial"/>
      <w:sz w:val="20"/>
      <w:szCs w:val="20"/>
      <w:lang w:val="es-ES"/>
    </w:rPr>
  </w:style>
  <w:style w:type="paragraph" w:styleId="FootnoteText">
    <w:name w:val="footnote text"/>
    <w:basedOn w:val="Normal"/>
    <w:link w:val="FootnoteTextChar"/>
    <w:semiHidden/>
    <w:unhideWhenUsed/>
    <w:rsid w:val="005B58B0"/>
    <w:rPr>
      <w:sz w:val="20"/>
      <w:szCs w:val="20"/>
    </w:rPr>
  </w:style>
  <w:style w:type="character" w:customStyle="1" w:styleId="FootnoteTextChar">
    <w:name w:val="Footnote Text Char"/>
    <w:basedOn w:val="DefaultParagraphFont"/>
    <w:link w:val="FootnoteText"/>
    <w:semiHidden/>
    <w:rsid w:val="005B58B0"/>
    <w:rPr>
      <w:rFonts w:eastAsia="Times New Roman" w:cstheme="minorHAnsi"/>
      <w:sz w:val="20"/>
      <w:szCs w:val="20"/>
      <w:lang w:val="en-US"/>
    </w:rPr>
  </w:style>
  <w:style w:type="character" w:styleId="FootnoteReference">
    <w:name w:val="footnote reference"/>
    <w:basedOn w:val="DefaultParagraphFont"/>
    <w:semiHidden/>
    <w:unhideWhenUsed/>
    <w:rsid w:val="005B58B0"/>
    <w:rPr>
      <w:vertAlign w:val="superscript"/>
    </w:rPr>
  </w:style>
  <w:style w:type="paragraph" w:styleId="TOC5">
    <w:name w:val="toc 5"/>
    <w:basedOn w:val="Normal"/>
    <w:next w:val="Normal"/>
    <w:autoRedefine/>
    <w:uiPriority w:val="39"/>
    <w:unhideWhenUsed/>
    <w:rsid w:val="005B58B0"/>
    <w:pPr>
      <w:ind w:left="960"/>
      <w:jc w:val="left"/>
    </w:pPr>
    <w:rPr>
      <w:sz w:val="20"/>
      <w:szCs w:val="20"/>
    </w:rPr>
  </w:style>
  <w:style w:type="paragraph" w:styleId="TOC6">
    <w:name w:val="toc 6"/>
    <w:basedOn w:val="Normal"/>
    <w:next w:val="Normal"/>
    <w:autoRedefine/>
    <w:uiPriority w:val="39"/>
    <w:unhideWhenUsed/>
    <w:rsid w:val="005B58B0"/>
    <w:pPr>
      <w:ind w:left="1200"/>
      <w:jc w:val="left"/>
    </w:pPr>
    <w:rPr>
      <w:sz w:val="20"/>
      <w:szCs w:val="20"/>
    </w:rPr>
  </w:style>
  <w:style w:type="paragraph" w:styleId="TOC7">
    <w:name w:val="toc 7"/>
    <w:basedOn w:val="Normal"/>
    <w:next w:val="Normal"/>
    <w:autoRedefine/>
    <w:uiPriority w:val="39"/>
    <w:unhideWhenUsed/>
    <w:rsid w:val="005B58B0"/>
    <w:pPr>
      <w:ind w:left="1440"/>
      <w:jc w:val="left"/>
    </w:pPr>
    <w:rPr>
      <w:sz w:val="20"/>
      <w:szCs w:val="20"/>
    </w:rPr>
  </w:style>
  <w:style w:type="paragraph" w:styleId="TOC8">
    <w:name w:val="toc 8"/>
    <w:basedOn w:val="Normal"/>
    <w:next w:val="Normal"/>
    <w:autoRedefine/>
    <w:uiPriority w:val="39"/>
    <w:unhideWhenUsed/>
    <w:rsid w:val="005B58B0"/>
    <w:pPr>
      <w:ind w:left="1680"/>
      <w:jc w:val="left"/>
    </w:pPr>
    <w:rPr>
      <w:sz w:val="20"/>
      <w:szCs w:val="20"/>
    </w:rPr>
  </w:style>
  <w:style w:type="paragraph" w:styleId="TOC9">
    <w:name w:val="toc 9"/>
    <w:basedOn w:val="Normal"/>
    <w:next w:val="Normal"/>
    <w:autoRedefine/>
    <w:uiPriority w:val="39"/>
    <w:unhideWhenUsed/>
    <w:rsid w:val="005B58B0"/>
    <w:pPr>
      <w:ind w:left="1920"/>
      <w:jc w:val="left"/>
    </w:pPr>
    <w:rPr>
      <w:sz w:val="20"/>
      <w:szCs w:val="20"/>
    </w:rPr>
  </w:style>
  <w:style w:type="character" w:customStyle="1" w:styleId="UnresolvedMention1">
    <w:name w:val="Unresolved Mention1"/>
    <w:basedOn w:val="DefaultParagraphFont"/>
    <w:uiPriority w:val="99"/>
    <w:semiHidden/>
    <w:unhideWhenUsed/>
    <w:rsid w:val="005B58B0"/>
    <w:rPr>
      <w:color w:val="605E5C"/>
      <w:shd w:val="clear" w:color="auto" w:fill="E1DFDD"/>
    </w:rPr>
  </w:style>
  <w:style w:type="paragraph" w:styleId="TableofFigures">
    <w:name w:val="table of figures"/>
    <w:basedOn w:val="Normal"/>
    <w:next w:val="Normal"/>
    <w:uiPriority w:val="99"/>
    <w:unhideWhenUsed/>
    <w:rsid w:val="005B58B0"/>
  </w:style>
  <w:style w:type="table" w:styleId="ListTable4-Accent3">
    <w:name w:val="List Table 4 Accent 3"/>
    <w:basedOn w:val="TableNormal"/>
    <w:uiPriority w:val="49"/>
    <w:rsid w:val="005B58B0"/>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B58B0"/>
    <w:pPr>
      <w:spacing w:after="0" w:line="240" w:lineRule="auto"/>
    </w:pPr>
    <w:rPr>
      <w:rFonts w:eastAsia="Times New Roman" w:cstheme="minorHAnsi"/>
      <w:sz w:val="24"/>
      <w:szCs w:val="24"/>
      <w:lang w:val="en-US"/>
    </w:rPr>
  </w:style>
  <w:style w:type="paragraph" w:customStyle="1" w:styleId="conf-macro">
    <w:name w:val="conf-macro"/>
    <w:basedOn w:val="Normal"/>
    <w:rsid w:val="005B58B0"/>
    <w:pPr>
      <w:spacing w:before="100" w:beforeAutospacing="1" w:after="100" w:afterAutospacing="1"/>
      <w:jc w:val="left"/>
    </w:pPr>
    <w:rPr>
      <w:rFonts w:ascii="Times New Roman" w:hAnsi="Times New Roman" w:cs="Times New Roman"/>
      <w:lang w:val="en-GB" w:eastAsia="en-GB"/>
    </w:rPr>
  </w:style>
  <w:style w:type="character" w:customStyle="1" w:styleId="fabric-text-color-mark">
    <w:name w:val="fabric-text-color-mark"/>
    <w:basedOn w:val="DefaultParagraphFont"/>
    <w:rsid w:val="0022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8441">
      <w:bodyDiv w:val="1"/>
      <w:marLeft w:val="0"/>
      <w:marRight w:val="0"/>
      <w:marTop w:val="0"/>
      <w:marBottom w:val="0"/>
      <w:divBdr>
        <w:top w:val="none" w:sz="0" w:space="0" w:color="auto"/>
        <w:left w:val="none" w:sz="0" w:space="0" w:color="auto"/>
        <w:bottom w:val="none" w:sz="0" w:space="0" w:color="auto"/>
        <w:right w:val="none" w:sz="0" w:space="0" w:color="auto"/>
      </w:divBdr>
    </w:div>
    <w:div w:id="222565993">
      <w:bodyDiv w:val="1"/>
      <w:marLeft w:val="0"/>
      <w:marRight w:val="0"/>
      <w:marTop w:val="0"/>
      <w:marBottom w:val="0"/>
      <w:divBdr>
        <w:top w:val="none" w:sz="0" w:space="0" w:color="auto"/>
        <w:left w:val="none" w:sz="0" w:space="0" w:color="auto"/>
        <w:bottom w:val="none" w:sz="0" w:space="0" w:color="auto"/>
        <w:right w:val="none" w:sz="0" w:space="0" w:color="auto"/>
      </w:divBdr>
    </w:div>
    <w:div w:id="375204498">
      <w:bodyDiv w:val="1"/>
      <w:marLeft w:val="0"/>
      <w:marRight w:val="0"/>
      <w:marTop w:val="0"/>
      <w:marBottom w:val="0"/>
      <w:divBdr>
        <w:top w:val="none" w:sz="0" w:space="0" w:color="auto"/>
        <w:left w:val="none" w:sz="0" w:space="0" w:color="auto"/>
        <w:bottom w:val="none" w:sz="0" w:space="0" w:color="auto"/>
        <w:right w:val="none" w:sz="0" w:space="0" w:color="auto"/>
      </w:divBdr>
    </w:div>
    <w:div w:id="443380648">
      <w:bodyDiv w:val="1"/>
      <w:marLeft w:val="0"/>
      <w:marRight w:val="0"/>
      <w:marTop w:val="0"/>
      <w:marBottom w:val="0"/>
      <w:divBdr>
        <w:top w:val="none" w:sz="0" w:space="0" w:color="auto"/>
        <w:left w:val="none" w:sz="0" w:space="0" w:color="auto"/>
        <w:bottom w:val="none" w:sz="0" w:space="0" w:color="auto"/>
        <w:right w:val="none" w:sz="0" w:space="0" w:color="auto"/>
      </w:divBdr>
    </w:div>
    <w:div w:id="536898139">
      <w:bodyDiv w:val="1"/>
      <w:marLeft w:val="0"/>
      <w:marRight w:val="0"/>
      <w:marTop w:val="0"/>
      <w:marBottom w:val="0"/>
      <w:divBdr>
        <w:top w:val="none" w:sz="0" w:space="0" w:color="auto"/>
        <w:left w:val="none" w:sz="0" w:space="0" w:color="auto"/>
        <w:bottom w:val="none" w:sz="0" w:space="0" w:color="auto"/>
        <w:right w:val="none" w:sz="0" w:space="0" w:color="auto"/>
      </w:divBdr>
    </w:div>
    <w:div w:id="573470496">
      <w:bodyDiv w:val="1"/>
      <w:marLeft w:val="0"/>
      <w:marRight w:val="0"/>
      <w:marTop w:val="0"/>
      <w:marBottom w:val="0"/>
      <w:divBdr>
        <w:top w:val="none" w:sz="0" w:space="0" w:color="auto"/>
        <w:left w:val="none" w:sz="0" w:space="0" w:color="auto"/>
        <w:bottom w:val="none" w:sz="0" w:space="0" w:color="auto"/>
        <w:right w:val="none" w:sz="0" w:space="0" w:color="auto"/>
      </w:divBdr>
    </w:div>
    <w:div w:id="679088734">
      <w:bodyDiv w:val="1"/>
      <w:marLeft w:val="0"/>
      <w:marRight w:val="0"/>
      <w:marTop w:val="0"/>
      <w:marBottom w:val="0"/>
      <w:divBdr>
        <w:top w:val="none" w:sz="0" w:space="0" w:color="auto"/>
        <w:left w:val="none" w:sz="0" w:space="0" w:color="auto"/>
        <w:bottom w:val="none" w:sz="0" w:space="0" w:color="auto"/>
        <w:right w:val="none" w:sz="0" w:space="0" w:color="auto"/>
      </w:divBdr>
    </w:div>
    <w:div w:id="771976925">
      <w:bodyDiv w:val="1"/>
      <w:marLeft w:val="0"/>
      <w:marRight w:val="0"/>
      <w:marTop w:val="0"/>
      <w:marBottom w:val="0"/>
      <w:divBdr>
        <w:top w:val="none" w:sz="0" w:space="0" w:color="auto"/>
        <w:left w:val="none" w:sz="0" w:space="0" w:color="auto"/>
        <w:bottom w:val="none" w:sz="0" w:space="0" w:color="auto"/>
        <w:right w:val="none" w:sz="0" w:space="0" w:color="auto"/>
      </w:divBdr>
    </w:div>
    <w:div w:id="774178103">
      <w:bodyDiv w:val="1"/>
      <w:marLeft w:val="0"/>
      <w:marRight w:val="0"/>
      <w:marTop w:val="0"/>
      <w:marBottom w:val="0"/>
      <w:divBdr>
        <w:top w:val="none" w:sz="0" w:space="0" w:color="auto"/>
        <w:left w:val="none" w:sz="0" w:space="0" w:color="auto"/>
        <w:bottom w:val="none" w:sz="0" w:space="0" w:color="auto"/>
        <w:right w:val="none" w:sz="0" w:space="0" w:color="auto"/>
      </w:divBdr>
    </w:div>
    <w:div w:id="850224359">
      <w:bodyDiv w:val="1"/>
      <w:marLeft w:val="0"/>
      <w:marRight w:val="0"/>
      <w:marTop w:val="0"/>
      <w:marBottom w:val="0"/>
      <w:divBdr>
        <w:top w:val="none" w:sz="0" w:space="0" w:color="auto"/>
        <w:left w:val="none" w:sz="0" w:space="0" w:color="auto"/>
        <w:bottom w:val="none" w:sz="0" w:space="0" w:color="auto"/>
        <w:right w:val="none" w:sz="0" w:space="0" w:color="auto"/>
      </w:divBdr>
    </w:div>
    <w:div w:id="911237089">
      <w:bodyDiv w:val="1"/>
      <w:marLeft w:val="0"/>
      <w:marRight w:val="0"/>
      <w:marTop w:val="0"/>
      <w:marBottom w:val="0"/>
      <w:divBdr>
        <w:top w:val="none" w:sz="0" w:space="0" w:color="auto"/>
        <w:left w:val="none" w:sz="0" w:space="0" w:color="auto"/>
        <w:bottom w:val="none" w:sz="0" w:space="0" w:color="auto"/>
        <w:right w:val="none" w:sz="0" w:space="0" w:color="auto"/>
      </w:divBdr>
    </w:div>
    <w:div w:id="1034965652">
      <w:bodyDiv w:val="1"/>
      <w:marLeft w:val="0"/>
      <w:marRight w:val="0"/>
      <w:marTop w:val="0"/>
      <w:marBottom w:val="0"/>
      <w:divBdr>
        <w:top w:val="none" w:sz="0" w:space="0" w:color="auto"/>
        <w:left w:val="none" w:sz="0" w:space="0" w:color="auto"/>
        <w:bottom w:val="none" w:sz="0" w:space="0" w:color="auto"/>
        <w:right w:val="none" w:sz="0" w:space="0" w:color="auto"/>
      </w:divBdr>
    </w:div>
    <w:div w:id="1076316701">
      <w:bodyDiv w:val="1"/>
      <w:marLeft w:val="0"/>
      <w:marRight w:val="0"/>
      <w:marTop w:val="0"/>
      <w:marBottom w:val="0"/>
      <w:divBdr>
        <w:top w:val="none" w:sz="0" w:space="0" w:color="auto"/>
        <w:left w:val="none" w:sz="0" w:space="0" w:color="auto"/>
        <w:bottom w:val="none" w:sz="0" w:space="0" w:color="auto"/>
        <w:right w:val="none" w:sz="0" w:space="0" w:color="auto"/>
      </w:divBdr>
    </w:div>
    <w:div w:id="1178543974">
      <w:bodyDiv w:val="1"/>
      <w:marLeft w:val="0"/>
      <w:marRight w:val="0"/>
      <w:marTop w:val="0"/>
      <w:marBottom w:val="0"/>
      <w:divBdr>
        <w:top w:val="none" w:sz="0" w:space="0" w:color="auto"/>
        <w:left w:val="none" w:sz="0" w:space="0" w:color="auto"/>
        <w:bottom w:val="none" w:sz="0" w:space="0" w:color="auto"/>
        <w:right w:val="none" w:sz="0" w:space="0" w:color="auto"/>
      </w:divBdr>
    </w:div>
    <w:div w:id="1239897774">
      <w:bodyDiv w:val="1"/>
      <w:marLeft w:val="0"/>
      <w:marRight w:val="0"/>
      <w:marTop w:val="0"/>
      <w:marBottom w:val="0"/>
      <w:divBdr>
        <w:top w:val="none" w:sz="0" w:space="0" w:color="auto"/>
        <w:left w:val="none" w:sz="0" w:space="0" w:color="auto"/>
        <w:bottom w:val="none" w:sz="0" w:space="0" w:color="auto"/>
        <w:right w:val="none" w:sz="0" w:space="0" w:color="auto"/>
      </w:divBdr>
    </w:div>
    <w:div w:id="1458645338">
      <w:bodyDiv w:val="1"/>
      <w:marLeft w:val="0"/>
      <w:marRight w:val="0"/>
      <w:marTop w:val="0"/>
      <w:marBottom w:val="0"/>
      <w:divBdr>
        <w:top w:val="none" w:sz="0" w:space="0" w:color="auto"/>
        <w:left w:val="none" w:sz="0" w:space="0" w:color="auto"/>
        <w:bottom w:val="none" w:sz="0" w:space="0" w:color="auto"/>
        <w:right w:val="none" w:sz="0" w:space="0" w:color="auto"/>
      </w:divBdr>
    </w:div>
    <w:div w:id="1541089311">
      <w:bodyDiv w:val="1"/>
      <w:marLeft w:val="0"/>
      <w:marRight w:val="0"/>
      <w:marTop w:val="0"/>
      <w:marBottom w:val="0"/>
      <w:divBdr>
        <w:top w:val="none" w:sz="0" w:space="0" w:color="auto"/>
        <w:left w:val="none" w:sz="0" w:space="0" w:color="auto"/>
        <w:bottom w:val="none" w:sz="0" w:space="0" w:color="auto"/>
        <w:right w:val="none" w:sz="0" w:space="0" w:color="auto"/>
      </w:divBdr>
    </w:div>
    <w:div w:id="1554928800">
      <w:bodyDiv w:val="1"/>
      <w:marLeft w:val="0"/>
      <w:marRight w:val="0"/>
      <w:marTop w:val="0"/>
      <w:marBottom w:val="0"/>
      <w:divBdr>
        <w:top w:val="none" w:sz="0" w:space="0" w:color="auto"/>
        <w:left w:val="none" w:sz="0" w:space="0" w:color="auto"/>
        <w:bottom w:val="none" w:sz="0" w:space="0" w:color="auto"/>
        <w:right w:val="none" w:sz="0" w:space="0" w:color="auto"/>
      </w:divBdr>
    </w:div>
    <w:div w:id="1597013185">
      <w:bodyDiv w:val="1"/>
      <w:marLeft w:val="0"/>
      <w:marRight w:val="0"/>
      <w:marTop w:val="0"/>
      <w:marBottom w:val="0"/>
      <w:divBdr>
        <w:top w:val="none" w:sz="0" w:space="0" w:color="auto"/>
        <w:left w:val="none" w:sz="0" w:space="0" w:color="auto"/>
        <w:bottom w:val="none" w:sz="0" w:space="0" w:color="auto"/>
        <w:right w:val="none" w:sz="0" w:space="0" w:color="auto"/>
      </w:divBdr>
    </w:div>
    <w:div w:id="1639460387">
      <w:bodyDiv w:val="1"/>
      <w:marLeft w:val="0"/>
      <w:marRight w:val="0"/>
      <w:marTop w:val="0"/>
      <w:marBottom w:val="0"/>
      <w:divBdr>
        <w:top w:val="none" w:sz="0" w:space="0" w:color="auto"/>
        <w:left w:val="none" w:sz="0" w:space="0" w:color="auto"/>
        <w:bottom w:val="none" w:sz="0" w:space="0" w:color="auto"/>
        <w:right w:val="none" w:sz="0" w:space="0" w:color="auto"/>
      </w:divBdr>
    </w:div>
    <w:div w:id="1817407431">
      <w:bodyDiv w:val="1"/>
      <w:marLeft w:val="0"/>
      <w:marRight w:val="0"/>
      <w:marTop w:val="0"/>
      <w:marBottom w:val="0"/>
      <w:divBdr>
        <w:top w:val="none" w:sz="0" w:space="0" w:color="auto"/>
        <w:left w:val="none" w:sz="0" w:space="0" w:color="auto"/>
        <w:bottom w:val="none" w:sz="0" w:space="0" w:color="auto"/>
        <w:right w:val="none" w:sz="0" w:space="0" w:color="auto"/>
      </w:divBdr>
    </w:div>
    <w:div w:id="1821923359">
      <w:bodyDiv w:val="1"/>
      <w:marLeft w:val="0"/>
      <w:marRight w:val="0"/>
      <w:marTop w:val="0"/>
      <w:marBottom w:val="0"/>
      <w:divBdr>
        <w:top w:val="none" w:sz="0" w:space="0" w:color="auto"/>
        <w:left w:val="none" w:sz="0" w:space="0" w:color="auto"/>
        <w:bottom w:val="none" w:sz="0" w:space="0" w:color="auto"/>
        <w:right w:val="none" w:sz="0" w:space="0" w:color="auto"/>
      </w:divBdr>
    </w:div>
    <w:div w:id="194387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f4548-d4c4-40a4-b201-f9c572c5f5f5">
      <Terms xmlns="http://schemas.microsoft.com/office/infopath/2007/PartnerControls"/>
    </lcf76f155ced4ddcb4097134ff3c332f>
    <TaxCatchAll xmlns="3517616d-ff02-41b6-8f8e-a2b30e98bb90" xsi:nil="true"/>
    <Notes xmlns="494f4548-d4c4-40a4-b201-f9c572c5f5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A6D2AB6A5BAE4A90F4104E3A4B2F49" ma:contentTypeVersion="16" ma:contentTypeDescription="Create a new document." ma:contentTypeScope="" ma:versionID="09eb95e8153a0141a3c89ce609129d71">
  <xsd:schema xmlns:xsd="http://www.w3.org/2001/XMLSchema" xmlns:xs="http://www.w3.org/2001/XMLSchema" xmlns:p="http://schemas.microsoft.com/office/2006/metadata/properties" xmlns:ns2="494f4548-d4c4-40a4-b201-f9c572c5f5f5" xmlns:ns3="3517616d-ff02-41b6-8f8e-a2b30e98bb90" targetNamespace="http://schemas.microsoft.com/office/2006/metadata/properties" ma:root="true" ma:fieldsID="99077bdd493568325bad52ecaa1fc5a4" ns2:_="" ns3:_="">
    <xsd:import namespace="494f4548-d4c4-40a4-b201-f9c572c5f5f5"/>
    <xsd:import namespace="3517616d-ff02-41b6-8f8e-a2b30e98bb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4548-d4c4-40a4-b201-f9c572c5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2e1ef4-596b-4fd6-9cbc-665921c08e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17616d-ff02-41b6-8f8e-a2b30e98bb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446a99-ac31-41ba-96bc-de4d0791a88d}" ma:internalName="TaxCatchAll" ma:showField="CatchAllData" ma:web="3517616d-ff02-41b6-8f8e-a2b30e98b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FD923-3A6C-6142-B59B-3533F9881CBA}">
  <ds:schemaRefs>
    <ds:schemaRef ds:uri="http://schemas.openxmlformats.org/officeDocument/2006/bibliography"/>
  </ds:schemaRefs>
</ds:datastoreItem>
</file>

<file path=customXml/itemProps2.xml><?xml version="1.0" encoding="utf-8"?>
<ds:datastoreItem xmlns:ds="http://schemas.openxmlformats.org/officeDocument/2006/customXml" ds:itemID="{6ECCB623-3FF2-4528-BD21-46859C69493C}">
  <ds:schemaRefs>
    <ds:schemaRef ds:uri="http://schemas.microsoft.com/office/2006/metadata/properties"/>
    <ds:schemaRef ds:uri="http://schemas.microsoft.com/office/infopath/2007/PartnerControls"/>
    <ds:schemaRef ds:uri="494f4548-d4c4-40a4-b201-f9c572c5f5f5"/>
    <ds:schemaRef ds:uri="3517616d-ff02-41b6-8f8e-a2b30e98bb90"/>
  </ds:schemaRefs>
</ds:datastoreItem>
</file>

<file path=customXml/itemProps3.xml><?xml version="1.0" encoding="utf-8"?>
<ds:datastoreItem xmlns:ds="http://schemas.openxmlformats.org/officeDocument/2006/customXml" ds:itemID="{F0B465E4-DEDE-4D40-93F0-D054EE580D27}">
  <ds:schemaRefs>
    <ds:schemaRef ds:uri="http://schemas.microsoft.com/sharepoint/v3/contenttype/forms"/>
  </ds:schemaRefs>
</ds:datastoreItem>
</file>

<file path=customXml/itemProps4.xml><?xml version="1.0" encoding="utf-8"?>
<ds:datastoreItem xmlns:ds="http://schemas.openxmlformats.org/officeDocument/2006/customXml" ds:itemID="{20CE8D27-2188-4DA9-B230-16A1854A5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4548-d4c4-40a4-b201-f9c572c5f5f5"/>
    <ds:schemaRef ds:uri="3517616d-ff02-41b6-8f8e-a2b30e98b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49536e-9021-4e8b-a813-eda5cb0caf1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 Belhazi</dc:creator>
  <cp:keywords/>
  <dc:description/>
  <cp:lastModifiedBy>David George</cp:lastModifiedBy>
  <cp:revision>6</cp:revision>
  <cp:lastPrinted>2020-08-21T12:56:00Z</cp:lastPrinted>
  <dcterms:created xsi:type="dcterms:W3CDTF">2024-02-15T15:59:00Z</dcterms:created>
  <dcterms:modified xsi:type="dcterms:W3CDTF">2024-03-05T16:09:00Z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0x01010059A6D2AB6A5BAE4A90F4104E3A4B2F49</vt:lpwstr>
  </property>
  <property fmtid="{D5CDD505-2E9C-101B-9397-08002B2CF9AE}" pid="3" name="MediaServiceImageTags">
    <vt:lpwstr/>
  </property>
  <property fmtid="{D5CDD505-2E9C-101B-9397-08002B2CF9AE}" pid="4" name="SAEFCountryOfJurisdiction">
    <vt:lpwstr>3;#UNITED STATES|6c4ad875-5af6-45fb-9ae9-62dd1609b327</vt:lpwstr>
  </property>
  <property fmtid="{D5CDD505-2E9C-101B-9397-08002B2CF9AE}" pid="5" name="SAEFSecurityClassification">
    <vt:lpwstr>1;#Confidential|e4bc29b2-6e76-48cc-b090-8b544c0802ae</vt:lpwstr>
  </property>
  <property fmtid="{D5CDD505-2E9C-101B-9397-08002B2CF9AE}" pid="6" name="SAEFLegalEntity">
    <vt:lpwstr>2;#Shell Trading (Us) Company|7f5c2d42-9287-483d-b540-f6bde8a5850a</vt:lpwstr>
  </property>
</Properties>
</file>